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5250E" w14:textId="58C29925" w:rsidR="00527BDE" w:rsidRDefault="00527BDE" w:rsidP="00CC6B09">
      <w:pPr>
        <w:spacing w:after="0" w:line="240" w:lineRule="auto"/>
        <w:jc w:val="center"/>
        <w:rPr>
          <w:rFonts w:ascii="Calibri Light" w:hAnsi="Calibri Light" w:cs="Calibri Light"/>
          <w:noProof/>
          <w:sz w:val="24"/>
          <w:szCs w:val="24"/>
        </w:rPr>
      </w:pPr>
      <w:r>
        <w:rPr>
          <w:rFonts w:ascii="Calibri Light" w:hAnsi="Calibri Light" w:cs="Calibri Light"/>
          <w:noProof/>
          <w:sz w:val="24"/>
          <w:szCs w:val="24"/>
        </w:rPr>
        <w:drawing>
          <wp:anchor distT="0" distB="0" distL="114300" distR="114300" simplePos="0" relativeHeight="251689472" behindDoc="1" locked="0" layoutInCell="1" allowOverlap="1" wp14:anchorId="23BCC0BE" wp14:editId="4D91519E">
            <wp:simplePos x="0" y="0"/>
            <wp:positionH relativeFrom="page">
              <wp:align>right</wp:align>
            </wp:positionH>
            <wp:positionV relativeFrom="paragraph">
              <wp:posOffset>-448945</wp:posOffset>
            </wp:positionV>
            <wp:extent cx="7543016" cy="5232400"/>
            <wp:effectExtent l="0" t="0" r="1270" b="6350"/>
            <wp:wrapNone/>
            <wp:docPr id="130206912" name="Image 2" descr="Une image contenant texte, plein air, ciel,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6912" name="Image 2" descr="Une image contenant texte, plein air, ciel, signe&#10;&#10;Description générée automatiquement"/>
                    <pic:cNvPicPr/>
                  </pic:nvPicPr>
                  <pic:blipFill rotWithShape="1">
                    <a:blip r:embed="rId8" cstate="print">
                      <a:extLst>
                        <a:ext uri="{28A0092B-C50C-407E-A947-70E740481C1C}">
                          <a14:useLocalDpi xmlns:a14="http://schemas.microsoft.com/office/drawing/2010/main" val="0"/>
                        </a:ext>
                      </a:extLst>
                    </a:blip>
                    <a:srcRect b="7516"/>
                    <a:stretch/>
                  </pic:blipFill>
                  <pic:spPr bwMode="auto">
                    <a:xfrm>
                      <a:off x="0" y="0"/>
                      <a:ext cx="7543016" cy="523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E09261" w14:textId="77777777" w:rsidR="00527BDE" w:rsidRDefault="00527BDE" w:rsidP="00CC6B09">
      <w:pPr>
        <w:spacing w:after="0" w:line="240" w:lineRule="auto"/>
        <w:jc w:val="center"/>
        <w:rPr>
          <w:rFonts w:ascii="Calibri Light" w:hAnsi="Calibri Light" w:cs="Calibri Light"/>
          <w:b/>
          <w:bCs/>
          <w:sz w:val="48"/>
          <w:szCs w:val="48"/>
        </w:rPr>
      </w:pPr>
    </w:p>
    <w:p w14:paraId="793D213B" w14:textId="77777777" w:rsidR="00527BDE" w:rsidRDefault="00527BDE" w:rsidP="00CC6B09">
      <w:pPr>
        <w:spacing w:after="0" w:line="240" w:lineRule="auto"/>
        <w:jc w:val="center"/>
        <w:rPr>
          <w:rFonts w:ascii="Calibri Light" w:hAnsi="Calibri Light" w:cs="Calibri Light"/>
          <w:b/>
          <w:bCs/>
          <w:sz w:val="48"/>
          <w:szCs w:val="48"/>
        </w:rPr>
      </w:pPr>
    </w:p>
    <w:p w14:paraId="21E9FC7F" w14:textId="77777777" w:rsidR="00527BDE" w:rsidRDefault="00527BDE" w:rsidP="00CC6B09">
      <w:pPr>
        <w:spacing w:after="0" w:line="240" w:lineRule="auto"/>
        <w:jc w:val="center"/>
        <w:rPr>
          <w:rFonts w:ascii="Calibri Light" w:hAnsi="Calibri Light" w:cs="Calibri Light"/>
          <w:b/>
          <w:bCs/>
          <w:sz w:val="48"/>
          <w:szCs w:val="48"/>
        </w:rPr>
      </w:pPr>
    </w:p>
    <w:p w14:paraId="13C7CED1" w14:textId="77777777" w:rsidR="00527BDE" w:rsidRDefault="00527BDE" w:rsidP="00CC6B09">
      <w:pPr>
        <w:spacing w:after="0" w:line="240" w:lineRule="auto"/>
        <w:jc w:val="center"/>
        <w:rPr>
          <w:rFonts w:ascii="Calibri Light" w:hAnsi="Calibri Light" w:cs="Calibri Light"/>
          <w:b/>
          <w:bCs/>
          <w:sz w:val="48"/>
          <w:szCs w:val="48"/>
        </w:rPr>
      </w:pPr>
    </w:p>
    <w:p w14:paraId="401C6C99" w14:textId="77777777" w:rsidR="00527BDE" w:rsidRDefault="00527BDE" w:rsidP="00CC6B09">
      <w:pPr>
        <w:spacing w:after="0" w:line="240" w:lineRule="auto"/>
        <w:jc w:val="center"/>
        <w:rPr>
          <w:rFonts w:ascii="Calibri Light" w:hAnsi="Calibri Light" w:cs="Calibri Light"/>
          <w:b/>
          <w:bCs/>
          <w:sz w:val="48"/>
          <w:szCs w:val="48"/>
        </w:rPr>
      </w:pPr>
    </w:p>
    <w:p w14:paraId="2D3751F5" w14:textId="77777777" w:rsidR="00527BDE" w:rsidRDefault="00527BDE" w:rsidP="00CC6B09">
      <w:pPr>
        <w:spacing w:after="0" w:line="240" w:lineRule="auto"/>
        <w:jc w:val="center"/>
        <w:rPr>
          <w:rFonts w:ascii="Calibri Light" w:hAnsi="Calibri Light" w:cs="Calibri Light"/>
          <w:b/>
          <w:bCs/>
          <w:sz w:val="48"/>
          <w:szCs w:val="48"/>
        </w:rPr>
      </w:pPr>
    </w:p>
    <w:p w14:paraId="1E0F160A" w14:textId="77777777" w:rsidR="00527BDE" w:rsidRDefault="00527BDE" w:rsidP="00CC6B09">
      <w:pPr>
        <w:spacing w:after="0" w:line="240" w:lineRule="auto"/>
        <w:jc w:val="center"/>
        <w:rPr>
          <w:rFonts w:ascii="Calibri Light" w:hAnsi="Calibri Light" w:cs="Calibri Light"/>
          <w:b/>
          <w:bCs/>
          <w:sz w:val="48"/>
          <w:szCs w:val="48"/>
        </w:rPr>
      </w:pPr>
    </w:p>
    <w:p w14:paraId="343D75B0" w14:textId="77777777" w:rsidR="00527BDE" w:rsidRDefault="00527BDE" w:rsidP="00CC6B09">
      <w:pPr>
        <w:spacing w:after="0" w:line="240" w:lineRule="auto"/>
        <w:jc w:val="center"/>
        <w:rPr>
          <w:rFonts w:ascii="Calibri Light" w:hAnsi="Calibri Light" w:cs="Calibri Light"/>
          <w:b/>
          <w:bCs/>
          <w:sz w:val="48"/>
          <w:szCs w:val="48"/>
        </w:rPr>
      </w:pPr>
    </w:p>
    <w:p w14:paraId="763ADBBA" w14:textId="77777777" w:rsidR="00527BDE" w:rsidRDefault="00527BDE" w:rsidP="00CC6B09">
      <w:pPr>
        <w:spacing w:after="0" w:line="240" w:lineRule="auto"/>
        <w:jc w:val="center"/>
        <w:rPr>
          <w:rFonts w:ascii="Calibri Light" w:hAnsi="Calibri Light" w:cs="Calibri Light"/>
          <w:b/>
          <w:bCs/>
          <w:sz w:val="48"/>
          <w:szCs w:val="48"/>
        </w:rPr>
      </w:pPr>
    </w:p>
    <w:p w14:paraId="334DDE5B" w14:textId="77777777" w:rsidR="00527BDE" w:rsidRDefault="00527BDE" w:rsidP="00CC6B09">
      <w:pPr>
        <w:spacing w:after="0" w:line="240" w:lineRule="auto"/>
        <w:jc w:val="center"/>
        <w:rPr>
          <w:rFonts w:ascii="Calibri Light" w:hAnsi="Calibri Light" w:cs="Calibri Light"/>
          <w:b/>
          <w:bCs/>
          <w:sz w:val="48"/>
          <w:szCs w:val="48"/>
        </w:rPr>
      </w:pPr>
    </w:p>
    <w:p w14:paraId="470F1C72" w14:textId="77777777" w:rsidR="00527BDE" w:rsidRDefault="00527BDE" w:rsidP="00CC6B09">
      <w:pPr>
        <w:spacing w:after="0" w:line="240" w:lineRule="auto"/>
        <w:jc w:val="center"/>
        <w:rPr>
          <w:rFonts w:ascii="Calibri Light" w:hAnsi="Calibri Light" w:cs="Calibri Light"/>
          <w:b/>
          <w:bCs/>
          <w:sz w:val="48"/>
          <w:szCs w:val="48"/>
        </w:rPr>
      </w:pPr>
    </w:p>
    <w:p w14:paraId="3C9A828E" w14:textId="77777777" w:rsidR="00527BDE" w:rsidRDefault="00527BDE" w:rsidP="00CC6B09">
      <w:pPr>
        <w:spacing w:after="0" w:line="240" w:lineRule="auto"/>
        <w:jc w:val="center"/>
        <w:rPr>
          <w:rFonts w:ascii="Calibri Light" w:hAnsi="Calibri Light" w:cs="Calibri Light"/>
          <w:b/>
          <w:bCs/>
          <w:sz w:val="48"/>
          <w:szCs w:val="48"/>
        </w:rPr>
      </w:pPr>
    </w:p>
    <w:p w14:paraId="2A04352E" w14:textId="77777777" w:rsidR="00527BDE" w:rsidRDefault="00527BDE" w:rsidP="00CC6B09">
      <w:pPr>
        <w:spacing w:after="0" w:line="240" w:lineRule="auto"/>
        <w:jc w:val="center"/>
        <w:rPr>
          <w:rFonts w:ascii="Calibri Light" w:hAnsi="Calibri Light" w:cs="Calibri Light"/>
          <w:b/>
          <w:bCs/>
          <w:sz w:val="48"/>
          <w:szCs w:val="48"/>
        </w:rPr>
      </w:pPr>
    </w:p>
    <w:p w14:paraId="00FF4C46" w14:textId="77777777" w:rsidR="00527BDE" w:rsidRDefault="00527BDE" w:rsidP="00CC6B09">
      <w:pPr>
        <w:spacing w:after="0" w:line="240" w:lineRule="auto"/>
        <w:jc w:val="center"/>
        <w:rPr>
          <w:rFonts w:ascii="Calibri Light" w:hAnsi="Calibri Light" w:cs="Calibri Light"/>
          <w:b/>
          <w:bCs/>
          <w:sz w:val="48"/>
          <w:szCs w:val="48"/>
        </w:rPr>
      </w:pPr>
    </w:p>
    <w:p w14:paraId="7D5D0492" w14:textId="7E78F295" w:rsidR="00BE2262" w:rsidRPr="00090B32" w:rsidRDefault="00527BDE" w:rsidP="00CC6B09">
      <w:pPr>
        <w:spacing w:after="0" w:line="240" w:lineRule="auto"/>
        <w:jc w:val="center"/>
        <w:rPr>
          <w:rFonts w:ascii="Calibri Light" w:hAnsi="Calibri Light" w:cs="Calibri Light"/>
          <w:b/>
          <w:bCs/>
          <w:sz w:val="48"/>
          <w:szCs w:val="48"/>
        </w:rPr>
      </w:pPr>
      <w:r w:rsidRPr="00090B32">
        <w:rPr>
          <w:rFonts w:ascii="Calibri Light" w:hAnsi="Calibri Light" w:cs="Calibri Light"/>
          <w:noProof/>
          <w:sz w:val="24"/>
          <w:szCs w:val="24"/>
        </w:rPr>
        <w:drawing>
          <wp:anchor distT="0" distB="0" distL="114300" distR="114300" simplePos="0" relativeHeight="251688448" behindDoc="1" locked="0" layoutInCell="1" allowOverlap="1" wp14:anchorId="5476552A" wp14:editId="180FA26C">
            <wp:simplePos x="0" y="0"/>
            <wp:positionH relativeFrom="column">
              <wp:posOffset>-863600</wp:posOffset>
            </wp:positionH>
            <wp:positionV relativeFrom="paragraph">
              <wp:posOffset>3568700</wp:posOffset>
            </wp:positionV>
            <wp:extent cx="7943850" cy="5562600"/>
            <wp:effectExtent l="0" t="0" r="0" b="0"/>
            <wp:wrapNone/>
            <wp:docPr id="1" name="Image 1" descr="Une image contenant équipement électron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équipement électronique&#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43850" cy="5562600"/>
                    </a:xfrm>
                    <a:prstGeom prst="rect">
                      <a:avLst/>
                    </a:prstGeom>
                    <a:noFill/>
                  </pic:spPr>
                </pic:pic>
              </a:graphicData>
            </a:graphic>
            <wp14:sizeRelH relativeFrom="page">
              <wp14:pctWidth>0</wp14:pctWidth>
            </wp14:sizeRelH>
            <wp14:sizeRelV relativeFrom="page">
              <wp14:pctHeight>0</wp14:pctHeight>
            </wp14:sizeRelV>
          </wp:anchor>
        </w:drawing>
      </w:r>
    </w:p>
    <w:p w14:paraId="236166B2" w14:textId="2390544C" w:rsidR="004E23F4" w:rsidRPr="00090B32" w:rsidRDefault="004E23F4" w:rsidP="00CC6B09">
      <w:pPr>
        <w:spacing w:after="0" w:line="240" w:lineRule="auto"/>
        <w:jc w:val="center"/>
        <w:rPr>
          <w:rFonts w:ascii="Calibri Light" w:hAnsi="Calibri Light" w:cs="Calibri Light"/>
          <w:b/>
          <w:bCs/>
          <w:sz w:val="52"/>
          <w:szCs w:val="52"/>
        </w:rPr>
      </w:pPr>
      <w:bookmarkStart w:id="0" w:name="_Hlk95729879"/>
      <w:bookmarkEnd w:id="0"/>
      <w:r w:rsidRPr="00090B32">
        <w:rPr>
          <w:rFonts w:ascii="Calibri Light" w:hAnsi="Calibri Light" w:cs="Calibri Light"/>
          <w:b/>
          <w:bCs/>
          <w:sz w:val="52"/>
          <w:szCs w:val="52"/>
        </w:rPr>
        <w:t>RAPPORT D’ORIENTATION</w:t>
      </w:r>
      <w:r w:rsidR="00CC6B09" w:rsidRPr="00090B32">
        <w:rPr>
          <w:rFonts w:ascii="Calibri Light" w:hAnsi="Calibri Light" w:cs="Calibri Light"/>
          <w:b/>
          <w:bCs/>
          <w:sz w:val="52"/>
          <w:szCs w:val="52"/>
        </w:rPr>
        <w:t>S</w:t>
      </w:r>
      <w:r w:rsidRPr="00090B32">
        <w:rPr>
          <w:rFonts w:ascii="Calibri Light" w:hAnsi="Calibri Light" w:cs="Calibri Light"/>
          <w:b/>
          <w:bCs/>
          <w:sz w:val="52"/>
          <w:szCs w:val="52"/>
        </w:rPr>
        <w:t xml:space="preserve"> BUDGETAIRE</w:t>
      </w:r>
      <w:r w:rsidR="00CC6B09" w:rsidRPr="00090B32">
        <w:rPr>
          <w:rFonts w:ascii="Calibri Light" w:hAnsi="Calibri Light" w:cs="Calibri Light"/>
          <w:b/>
          <w:bCs/>
          <w:sz w:val="52"/>
          <w:szCs w:val="52"/>
        </w:rPr>
        <w:t>S</w:t>
      </w:r>
    </w:p>
    <w:p w14:paraId="716BCC3C" w14:textId="49C793AF" w:rsidR="00CC6B09" w:rsidRPr="00090B32" w:rsidRDefault="00CC6B09" w:rsidP="00CC6B09">
      <w:pPr>
        <w:spacing w:after="0" w:line="240" w:lineRule="auto"/>
        <w:jc w:val="center"/>
        <w:rPr>
          <w:rFonts w:ascii="Calibri Light" w:hAnsi="Calibri Light" w:cs="Calibri Light"/>
          <w:b/>
          <w:bCs/>
          <w:sz w:val="52"/>
          <w:szCs w:val="52"/>
        </w:rPr>
      </w:pPr>
    </w:p>
    <w:p w14:paraId="7F7A363B" w14:textId="688B6B2E" w:rsidR="004E23F4" w:rsidRPr="00090B32" w:rsidRDefault="004E23F4" w:rsidP="00CC6B09">
      <w:pPr>
        <w:spacing w:after="0" w:line="240" w:lineRule="auto"/>
        <w:jc w:val="center"/>
        <w:rPr>
          <w:rFonts w:ascii="Calibri Light" w:hAnsi="Calibri Light" w:cs="Calibri Light"/>
          <w:b/>
          <w:bCs/>
          <w:sz w:val="52"/>
          <w:szCs w:val="52"/>
        </w:rPr>
      </w:pPr>
      <w:r w:rsidRPr="00090B32">
        <w:rPr>
          <w:rFonts w:ascii="Calibri Light" w:hAnsi="Calibri Light" w:cs="Calibri Light"/>
          <w:b/>
          <w:bCs/>
          <w:sz w:val="52"/>
          <w:szCs w:val="52"/>
        </w:rPr>
        <w:t>202</w:t>
      </w:r>
      <w:r w:rsidR="00137B91">
        <w:rPr>
          <w:rFonts w:ascii="Calibri Light" w:hAnsi="Calibri Light" w:cs="Calibri Light"/>
          <w:b/>
          <w:bCs/>
          <w:sz w:val="52"/>
          <w:szCs w:val="52"/>
        </w:rPr>
        <w:t>6</w:t>
      </w:r>
    </w:p>
    <w:p w14:paraId="33A6E20D" w14:textId="243AD375" w:rsidR="00CC6B09" w:rsidRPr="00090B32" w:rsidRDefault="00CC6B09" w:rsidP="00664C51">
      <w:pPr>
        <w:spacing w:after="0" w:line="240" w:lineRule="auto"/>
        <w:jc w:val="both"/>
        <w:rPr>
          <w:rFonts w:ascii="Calibri Light" w:hAnsi="Calibri Light" w:cs="Calibri Light"/>
          <w:sz w:val="24"/>
          <w:szCs w:val="24"/>
        </w:rPr>
      </w:pPr>
    </w:p>
    <w:p w14:paraId="7FCEF4F5" w14:textId="419869D1" w:rsidR="00CC6B09" w:rsidRPr="00090B32" w:rsidRDefault="00CC6B09" w:rsidP="00664C51">
      <w:pPr>
        <w:spacing w:after="0" w:line="240" w:lineRule="auto"/>
        <w:jc w:val="both"/>
        <w:rPr>
          <w:rFonts w:ascii="Calibri Light" w:hAnsi="Calibri Light" w:cs="Calibri Light"/>
          <w:sz w:val="24"/>
          <w:szCs w:val="24"/>
        </w:rPr>
      </w:pPr>
    </w:p>
    <w:p w14:paraId="0F2058DC" w14:textId="66FDB2E8" w:rsidR="00CC6B09" w:rsidRPr="00090B32" w:rsidRDefault="00CC6B09" w:rsidP="00664C51">
      <w:pPr>
        <w:spacing w:after="0" w:line="240" w:lineRule="auto"/>
        <w:jc w:val="both"/>
        <w:rPr>
          <w:rFonts w:ascii="Calibri Light" w:hAnsi="Calibri Light" w:cs="Calibri Light"/>
          <w:sz w:val="24"/>
          <w:szCs w:val="24"/>
        </w:rPr>
      </w:pPr>
    </w:p>
    <w:p w14:paraId="2DC556F5" w14:textId="77777777" w:rsidR="00CC6B09" w:rsidRPr="00090B32" w:rsidRDefault="00CC6B09" w:rsidP="00664C51">
      <w:pPr>
        <w:spacing w:after="0" w:line="240" w:lineRule="auto"/>
        <w:jc w:val="both"/>
        <w:rPr>
          <w:rFonts w:ascii="Calibri Light" w:hAnsi="Calibri Light" w:cs="Calibri Light"/>
          <w:sz w:val="24"/>
          <w:szCs w:val="24"/>
        </w:rPr>
      </w:pPr>
    </w:p>
    <w:p w14:paraId="05543C94" w14:textId="77777777" w:rsidR="00CC6B09" w:rsidRPr="00090B32" w:rsidRDefault="00CC6B09" w:rsidP="00664C51">
      <w:pPr>
        <w:spacing w:after="0" w:line="240" w:lineRule="auto"/>
        <w:jc w:val="both"/>
        <w:rPr>
          <w:rFonts w:ascii="Calibri Light" w:hAnsi="Calibri Light" w:cs="Calibri Light"/>
          <w:sz w:val="24"/>
          <w:szCs w:val="24"/>
        </w:rPr>
      </w:pPr>
    </w:p>
    <w:p w14:paraId="680F7CF3" w14:textId="60659AE8" w:rsidR="004E23F4" w:rsidRPr="00090B32" w:rsidRDefault="004E23F4" w:rsidP="00664C51">
      <w:pPr>
        <w:spacing w:after="0" w:line="240" w:lineRule="auto"/>
        <w:jc w:val="both"/>
        <w:rPr>
          <w:rFonts w:ascii="Calibri Light" w:hAnsi="Calibri Light" w:cs="Calibri Light"/>
        </w:rPr>
      </w:pPr>
      <w:r w:rsidRPr="00090B32">
        <w:rPr>
          <w:rFonts w:ascii="Calibri Light" w:hAnsi="Calibri Light" w:cs="Calibri Light"/>
        </w:rPr>
        <w:t xml:space="preserve">Présenté en Conseil </w:t>
      </w:r>
      <w:r w:rsidR="00527BDE">
        <w:rPr>
          <w:rFonts w:ascii="Calibri Light" w:hAnsi="Calibri Light" w:cs="Calibri Light"/>
        </w:rPr>
        <w:t>d’Administration</w:t>
      </w:r>
    </w:p>
    <w:p w14:paraId="1DC585F4" w14:textId="201B5C40" w:rsidR="004E23F4" w:rsidRPr="00090B32" w:rsidRDefault="00527BDE" w:rsidP="00664C51">
      <w:pPr>
        <w:spacing w:after="0" w:line="240" w:lineRule="auto"/>
        <w:jc w:val="both"/>
        <w:rPr>
          <w:rFonts w:ascii="Calibri Light" w:hAnsi="Calibri Light" w:cs="Calibri Light"/>
        </w:rPr>
      </w:pPr>
      <w:r>
        <w:rPr>
          <w:rFonts w:ascii="Calibri Light" w:hAnsi="Calibri Light" w:cs="Calibri Light"/>
        </w:rPr>
        <w:t>l</w:t>
      </w:r>
      <w:r w:rsidR="00CC6B09" w:rsidRPr="00090B32">
        <w:rPr>
          <w:rFonts w:ascii="Calibri Light" w:hAnsi="Calibri Light" w:cs="Calibri Light"/>
        </w:rPr>
        <w:t xml:space="preserve">e </w:t>
      </w:r>
      <w:r w:rsidR="00652E30">
        <w:rPr>
          <w:rFonts w:ascii="Calibri Light" w:hAnsi="Calibri Light" w:cs="Calibri Light"/>
        </w:rPr>
        <w:t>19</w:t>
      </w:r>
      <w:r w:rsidR="006C4863">
        <w:rPr>
          <w:rFonts w:ascii="Calibri Light" w:hAnsi="Calibri Light" w:cs="Calibri Light"/>
        </w:rPr>
        <w:t xml:space="preserve"> </w:t>
      </w:r>
      <w:r w:rsidR="002D5CA1">
        <w:rPr>
          <w:rFonts w:ascii="Calibri Light" w:hAnsi="Calibri Light" w:cs="Calibri Light"/>
        </w:rPr>
        <w:t>Novembre</w:t>
      </w:r>
      <w:r w:rsidR="00CC6B09" w:rsidRPr="00090B32">
        <w:rPr>
          <w:rFonts w:ascii="Calibri Light" w:hAnsi="Calibri Light" w:cs="Calibri Light"/>
        </w:rPr>
        <w:t xml:space="preserve"> 202</w:t>
      </w:r>
      <w:r w:rsidR="00652E30">
        <w:rPr>
          <w:rFonts w:ascii="Calibri Light" w:hAnsi="Calibri Light" w:cs="Calibri Light"/>
        </w:rPr>
        <w:t>5</w:t>
      </w:r>
      <w:r w:rsidR="00CC6B09" w:rsidRPr="00090B32">
        <w:rPr>
          <w:rFonts w:ascii="Calibri Light" w:hAnsi="Calibri Light" w:cs="Calibri Light"/>
        </w:rPr>
        <w:t>.</w:t>
      </w:r>
    </w:p>
    <w:p w14:paraId="115D7488" w14:textId="76BFED98" w:rsidR="004E23F4" w:rsidRPr="00090B32" w:rsidRDefault="004E23F4" w:rsidP="00664C51">
      <w:pPr>
        <w:spacing w:after="0" w:line="240" w:lineRule="auto"/>
        <w:jc w:val="both"/>
        <w:rPr>
          <w:rFonts w:ascii="Calibri Light" w:hAnsi="Calibri Light" w:cs="Calibri Light"/>
        </w:rPr>
      </w:pPr>
    </w:p>
    <w:p w14:paraId="68B22891" w14:textId="3C0AE451" w:rsidR="004E23F4" w:rsidRPr="00090B32" w:rsidRDefault="00CC6B09" w:rsidP="00664C51">
      <w:pPr>
        <w:spacing w:after="0" w:line="240" w:lineRule="auto"/>
        <w:jc w:val="both"/>
        <w:rPr>
          <w:rFonts w:ascii="Calibri Light" w:hAnsi="Calibri Light" w:cs="Calibri Light"/>
        </w:rPr>
      </w:pPr>
      <w:r w:rsidRPr="00090B32">
        <w:rPr>
          <w:rFonts w:ascii="Calibri Light" w:hAnsi="Calibri Light" w:cs="Calibri Light"/>
          <w:noProof/>
        </w:rPr>
        <w:drawing>
          <wp:anchor distT="0" distB="0" distL="114300" distR="114300" simplePos="0" relativeHeight="251648512" behindDoc="0" locked="0" layoutInCell="1" allowOverlap="1" wp14:anchorId="70820FFF" wp14:editId="616DD500">
            <wp:simplePos x="0" y="0"/>
            <wp:positionH relativeFrom="column">
              <wp:posOffset>4929505</wp:posOffset>
            </wp:positionH>
            <wp:positionV relativeFrom="paragraph">
              <wp:posOffset>7620</wp:posOffset>
            </wp:positionV>
            <wp:extent cx="1358900" cy="587375"/>
            <wp:effectExtent l="0" t="0" r="0" b="3175"/>
            <wp:wrapThrough wrapText="bothSides">
              <wp:wrapPolygon edited="0">
                <wp:start x="2422" y="0"/>
                <wp:lineTo x="0" y="9808"/>
                <wp:lineTo x="0" y="21016"/>
                <wp:lineTo x="21196" y="21016"/>
                <wp:lineTo x="21196" y="10508"/>
                <wp:lineTo x="3936" y="0"/>
                <wp:lineTo x="2422" y="0"/>
              </wp:wrapPolygon>
            </wp:wrapThrough>
            <wp:docPr id="38" name="Image 37">
              <a:extLst xmlns:a="http://schemas.openxmlformats.org/drawingml/2006/main">
                <a:ext uri="{FF2B5EF4-FFF2-40B4-BE49-F238E27FC236}">
                  <a16:creationId xmlns:a16="http://schemas.microsoft.com/office/drawing/2014/main" id="{FB71DA41-D3C3-44E3-9230-04F19CAE89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37">
                      <a:extLst>
                        <a:ext uri="{FF2B5EF4-FFF2-40B4-BE49-F238E27FC236}">
                          <a16:creationId xmlns:a16="http://schemas.microsoft.com/office/drawing/2014/main" id="{FB71DA41-D3C3-44E3-9230-04F19CAE897F}"/>
                        </a:ext>
                      </a:extLst>
                    </pic:cNvPr>
                    <pic:cNvPicPr>
                      <a:picLocks noChangeAspect="1"/>
                    </pic:cNvPicPr>
                  </pic:nvPicPr>
                  <pic:blipFill>
                    <a:blip r:embed="rId10"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358900" cy="587375"/>
                    </a:xfrm>
                    <a:prstGeom prst="rect">
                      <a:avLst/>
                    </a:prstGeom>
                  </pic:spPr>
                </pic:pic>
              </a:graphicData>
            </a:graphic>
            <wp14:sizeRelH relativeFrom="page">
              <wp14:pctWidth>0</wp14:pctWidth>
            </wp14:sizeRelH>
            <wp14:sizeRelV relativeFrom="page">
              <wp14:pctHeight>0</wp14:pctHeight>
            </wp14:sizeRelV>
          </wp:anchor>
        </w:drawing>
      </w:r>
      <w:r w:rsidR="004E23F4" w:rsidRPr="00090B32">
        <w:rPr>
          <w:rFonts w:ascii="Calibri Light" w:hAnsi="Calibri Light" w:cs="Calibri Light"/>
        </w:rPr>
        <w:br w:type="page"/>
      </w:r>
    </w:p>
    <w:p w14:paraId="0AA59221" w14:textId="0CE3AC78" w:rsidR="00090B32" w:rsidRPr="00090B32" w:rsidRDefault="00090B32" w:rsidP="00664C51">
      <w:pPr>
        <w:spacing w:after="120" w:line="240" w:lineRule="auto"/>
        <w:jc w:val="both"/>
        <w:rPr>
          <w:rFonts w:ascii="Calibri Light" w:hAnsi="Calibri Light" w:cs="Calibri Light"/>
        </w:rPr>
      </w:pPr>
    </w:p>
    <w:p w14:paraId="2645BBDC" w14:textId="77777777" w:rsidR="00AC047C" w:rsidRPr="00A3584A" w:rsidRDefault="00AC047C" w:rsidP="00AC047C">
      <w:pPr>
        <w:jc w:val="both"/>
        <w:rPr>
          <w:rFonts w:ascii="Aptos" w:hAnsi="Aptos" w:cs="Calibri Light"/>
          <w:b/>
          <w:bCs/>
          <w:color w:val="31849B" w:themeColor="accent5" w:themeShade="BF"/>
          <w:sz w:val="44"/>
          <w:szCs w:val="44"/>
        </w:rPr>
      </w:pPr>
      <w:r w:rsidRPr="00A3584A">
        <w:rPr>
          <w:rFonts w:ascii="Aptos" w:hAnsi="Aptos" w:cs="Calibri Light"/>
          <w:b/>
          <w:bCs/>
          <w:color w:val="31849B" w:themeColor="accent5" w:themeShade="BF"/>
          <w:sz w:val="44"/>
          <w:szCs w:val="44"/>
        </w:rPr>
        <w:t>Préambule</w:t>
      </w:r>
    </w:p>
    <w:p w14:paraId="5C44AE2D" w14:textId="77777777" w:rsidR="00AC047C" w:rsidRPr="00A3584A" w:rsidRDefault="00AC047C" w:rsidP="00AC047C">
      <w:pPr>
        <w:spacing w:after="120" w:line="240" w:lineRule="auto"/>
        <w:jc w:val="both"/>
        <w:rPr>
          <w:rFonts w:ascii="Aptos" w:hAnsi="Aptos" w:cs="Calibri Light"/>
        </w:rPr>
      </w:pPr>
    </w:p>
    <w:p w14:paraId="51DAEA95" w14:textId="77777777" w:rsidR="00AC047C" w:rsidRPr="00A3584A" w:rsidRDefault="00AC047C" w:rsidP="00AC047C">
      <w:pPr>
        <w:keepNext/>
        <w:framePr w:dropCap="drop" w:lines="3" w:wrap="around" w:vAnchor="text" w:hAnchor="text"/>
        <w:spacing w:after="0" w:line="926" w:lineRule="exact"/>
        <w:jc w:val="both"/>
        <w:textAlignment w:val="baseline"/>
        <w:rPr>
          <w:rFonts w:ascii="Aptos" w:hAnsi="Aptos" w:cs="Calibri Light"/>
          <w:position w:val="-9"/>
          <w:sz w:val="123"/>
        </w:rPr>
      </w:pPr>
      <w:r w:rsidRPr="00A3584A">
        <w:rPr>
          <w:rFonts w:ascii="Aptos" w:hAnsi="Aptos" w:cs="Calibri Light"/>
          <w:position w:val="-9"/>
          <w:sz w:val="123"/>
        </w:rPr>
        <w:t>D</w:t>
      </w:r>
    </w:p>
    <w:p w14:paraId="56664818" w14:textId="77777777" w:rsidR="00AC047C" w:rsidRPr="00A3584A" w:rsidRDefault="00AC047C" w:rsidP="00AC047C">
      <w:pPr>
        <w:jc w:val="both"/>
        <w:rPr>
          <w:rFonts w:ascii="Aptos" w:hAnsi="Aptos" w:cs="Calibri Light"/>
        </w:rPr>
      </w:pPr>
      <w:r w:rsidRPr="00A3584A">
        <w:rPr>
          <w:rFonts w:ascii="Aptos" w:hAnsi="Aptos" w:cs="Calibri Light"/>
        </w:rPr>
        <w:t>epuis la loi « Administration Territoriale de la République » (ATR) du 6 Février 1992, la tenue d’un Débat d’Orientation Budgétaire (DOB) s’impose aux communes et plus généralement aux collectivités dans un délai de dix semaines précédant l’examen du budget primitif. Première étape du cycle budgétaire annuel des collectivités locales, le Rapport d’Orientation Budgétaire (ROB) est un document essentiel qui permet de rendre compte de la gestion de la Ville (analyse rétrospective).</w:t>
      </w:r>
    </w:p>
    <w:p w14:paraId="2CE8A520" w14:textId="77777777" w:rsidR="00AC047C" w:rsidRPr="00A3584A" w:rsidRDefault="00AC047C" w:rsidP="00AC047C">
      <w:pPr>
        <w:jc w:val="both"/>
        <w:rPr>
          <w:rFonts w:ascii="Aptos" w:hAnsi="Aptos" w:cs="Calibri Light"/>
        </w:rPr>
      </w:pPr>
    </w:p>
    <w:p w14:paraId="74137F62" w14:textId="77777777" w:rsidR="00AC047C" w:rsidRPr="00A3584A" w:rsidRDefault="00AC047C" w:rsidP="00AC047C">
      <w:pPr>
        <w:jc w:val="both"/>
        <w:rPr>
          <w:rFonts w:ascii="Aptos" w:hAnsi="Aptos" w:cs="Calibri Light"/>
        </w:rPr>
      </w:pPr>
      <w:r w:rsidRPr="00A3584A">
        <w:rPr>
          <w:rFonts w:ascii="Aptos" w:hAnsi="Aptos" w:cs="Calibri Light"/>
        </w:rPr>
        <w:t xml:space="preserve">L’article 107 de la loi n° 2015-991 du 7 Août 2015 portant nouvelle organisation territoriale de la République, dit loi « </w:t>
      </w:r>
      <w:proofErr w:type="spellStart"/>
      <w:r w:rsidRPr="00A3584A">
        <w:rPr>
          <w:rFonts w:ascii="Aptos" w:hAnsi="Aptos" w:cs="Calibri Light"/>
        </w:rPr>
        <w:t>NOTRe</w:t>
      </w:r>
      <w:proofErr w:type="spellEnd"/>
      <w:r w:rsidRPr="00A3584A">
        <w:rPr>
          <w:rFonts w:ascii="Aptos" w:hAnsi="Aptos" w:cs="Calibri Light"/>
        </w:rPr>
        <w:t xml:space="preserve"> », publiée au journal officiel du 8 Août 2015 a voulu accentuer l’information des conseillers municipaux.</w:t>
      </w:r>
    </w:p>
    <w:p w14:paraId="2B0ACCBC" w14:textId="77777777" w:rsidR="00AC047C" w:rsidRPr="00A3584A" w:rsidRDefault="00AC047C" w:rsidP="00AC047C">
      <w:pPr>
        <w:jc w:val="both"/>
        <w:rPr>
          <w:rFonts w:ascii="Aptos" w:hAnsi="Aptos" w:cs="Calibri Light"/>
        </w:rPr>
      </w:pPr>
    </w:p>
    <w:p w14:paraId="585D2522" w14:textId="3E260D04" w:rsidR="00AC047C" w:rsidRPr="00A3584A" w:rsidRDefault="00AC047C" w:rsidP="00AC047C">
      <w:pPr>
        <w:jc w:val="both"/>
        <w:rPr>
          <w:rFonts w:ascii="Aptos" w:hAnsi="Aptos" w:cs="Calibri Light"/>
        </w:rPr>
      </w:pPr>
      <w:r w:rsidRPr="00A3584A">
        <w:rPr>
          <w:rFonts w:ascii="Aptos" w:hAnsi="Aptos" w:cs="Calibri Light"/>
        </w:rPr>
        <w:t xml:space="preserve">Aussi, le DOB s’effectue sur la base d’un rapport élaboré par le </w:t>
      </w:r>
      <w:r>
        <w:rPr>
          <w:rFonts w:ascii="Aptos" w:hAnsi="Aptos" w:cs="Calibri Light"/>
        </w:rPr>
        <w:t>Président du CCAS</w:t>
      </w:r>
      <w:r w:rsidRPr="00A3584A">
        <w:rPr>
          <w:rFonts w:ascii="Aptos" w:hAnsi="Aptos" w:cs="Calibri Light"/>
        </w:rPr>
        <w:t xml:space="preserve"> et ses collaborateurs sur les orientations budgétaires, les engagements pluriannuels envisagés, l’évolution des taux de fiscalité locale ainsi que sur la structure et la gestion de la dette. L’information est même renforcée dans les communes de plus de 10.000 habitants puisque le ROB doit, en outre, comporter une présentation de la structure et de l’évolution des dépenses (analyse prospective) et des effectifs ainsi que préciser notamment l’évolution prévisionnelle et l’exécution des dépenses de personnel.</w:t>
      </w:r>
    </w:p>
    <w:p w14:paraId="08666538" w14:textId="77777777" w:rsidR="00AC047C" w:rsidRPr="00A3584A" w:rsidRDefault="00AC047C" w:rsidP="00AC047C">
      <w:pPr>
        <w:jc w:val="both"/>
        <w:rPr>
          <w:rFonts w:ascii="Aptos" w:hAnsi="Aptos" w:cs="Calibri Light"/>
        </w:rPr>
      </w:pPr>
    </w:p>
    <w:p w14:paraId="5B45BCFB" w14:textId="77777777" w:rsidR="00AC047C" w:rsidRPr="00A3584A" w:rsidRDefault="00AC047C" w:rsidP="00AC047C">
      <w:pPr>
        <w:jc w:val="both"/>
        <w:rPr>
          <w:rFonts w:ascii="Aptos" w:hAnsi="Aptos" w:cs="Calibri Light"/>
        </w:rPr>
      </w:pPr>
      <w:r w:rsidRPr="00A3584A">
        <w:rPr>
          <w:rFonts w:ascii="Aptos" w:hAnsi="Aptos" w:cs="Calibri Light"/>
        </w:rPr>
        <w:t>Le ROB n’est pas qu’un document interne : il doit être transmis au préfet du Département et au Président de l’établissement public de coopération intercommunale dont la commune est membre mais aussi faire l’objet d’une publication conformément au décret n° 2016-841 du 24 Juin 2016 relatif au contenu ainsi qu’aux modalités de publication et de transmission du ROB.</w:t>
      </w:r>
    </w:p>
    <w:p w14:paraId="1D6FC666" w14:textId="77777777" w:rsidR="00AC047C" w:rsidRPr="00A3584A" w:rsidRDefault="00AC047C" w:rsidP="00AC047C">
      <w:pPr>
        <w:jc w:val="both"/>
        <w:rPr>
          <w:rFonts w:ascii="Aptos" w:hAnsi="Aptos" w:cs="Calibri Light"/>
        </w:rPr>
      </w:pPr>
    </w:p>
    <w:p w14:paraId="641AE908" w14:textId="5EBC238D" w:rsidR="00AC047C" w:rsidRPr="00A20B22" w:rsidRDefault="00AC047C" w:rsidP="00AC047C">
      <w:pPr>
        <w:jc w:val="both"/>
        <w:rPr>
          <w:rFonts w:ascii="Aptos" w:hAnsi="Aptos" w:cs="Calibri Light"/>
        </w:rPr>
      </w:pPr>
      <w:r w:rsidRPr="00A3584A">
        <w:rPr>
          <w:rFonts w:ascii="Aptos" w:hAnsi="Aptos" w:cs="Calibri Light"/>
        </w:rPr>
        <w:t xml:space="preserve">Le Débat d’Orientation Budgétaire doit permettre au Conseil </w:t>
      </w:r>
      <w:r>
        <w:rPr>
          <w:rFonts w:ascii="Aptos" w:hAnsi="Aptos" w:cs="Calibri Light"/>
        </w:rPr>
        <w:t>d’Administration du CCAS</w:t>
      </w:r>
      <w:r w:rsidRPr="00A3584A">
        <w:rPr>
          <w:rFonts w:ascii="Aptos" w:hAnsi="Aptos" w:cs="Calibri Light"/>
        </w:rPr>
        <w:t xml:space="preserve"> de discuter des orientations budgétaires qui préfigurent les priorités qui seront affectées dans le budget primitif voire au-delà pour certains programmes lourds. Mais ce doit être aussi l’occasion d’informer les</w:t>
      </w:r>
      <w:r>
        <w:rPr>
          <w:rFonts w:ascii="Aptos" w:hAnsi="Aptos" w:cs="Calibri Light"/>
        </w:rPr>
        <w:t xml:space="preserve"> </w:t>
      </w:r>
      <w:r w:rsidRPr="00A20B22">
        <w:rPr>
          <w:rFonts w:ascii="Aptos" w:hAnsi="Aptos" w:cs="Calibri Light"/>
        </w:rPr>
        <w:t xml:space="preserve">Administrateurs sur l’évolution financière de la Collectivité en tenant compte des projets </w:t>
      </w:r>
      <w:r w:rsidR="00A20B22" w:rsidRPr="00A20B22">
        <w:rPr>
          <w:rFonts w:ascii="Aptos" w:hAnsi="Aptos" w:cs="Calibri Light"/>
        </w:rPr>
        <w:t>du CCAS</w:t>
      </w:r>
      <w:r w:rsidRPr="00A20B22">
        <w:rPr>
          <w:rFonts w:ascii="Aptos" w:hAnsi="Aptos" w:cs="Calibri Light"/>
        </w:rPr>
        <w:t xml:space="preserve"> et des évolutions conjoncturelles et structurelles qui influent sur </w:t>
      </w:r>
      <w:r w:rsidR="00A20B22" w:rsidRPr="00A20B22">
        <w:rPr>
          <w:rFonts w:ascii="Aptos" w:hAnsi="Aptos" w:cs="Calibri Light"/>
        </w:rPr>
        <w:t>ses</w:t>
      </w:r>
      <w:r w:rsidRPr="00A20B22">
        <w:rPr>
          <w:rFonts w:ascii="Aptos" w:hAnsi="Aptos" w:cs="Calibri Light"/>
        </w:rPr>
        <w:t xml:space="preserve"> capacités de financement.</w:t>
      </w:r>
    </w:p>
    <w:p w14:paraId="776AB7A9" w14:textId="77777777" w:rsidR="00AC047C" w:rsidRPr="00A20B22" w:rsidRDefault="00AC047C" w:rsidP="00AC047C">
      <w:pPr>
        <w:jc w:val="both"/>
        <w:rPr>
          <w:rFonts w:ascii="Aptos" w:hAnsi="Aptos" w:cs="Calibri Light"/>
          <w:b/>
          <w:bCs/>
        </w:rPr>
      </w:pPr>
    </w:p>
    <w:p w14:paraId="5414D3D7" w14:textId="59041647" w:rsidR="00AC047C" w:rsidRPr="00AC047C" w:rsidRDefault="00AC047C" w:rsidP="00AC047C">
      <w:pPr>
        <w:jc w:val="both"/>
        <w:rPr>
          <w:rFonts w:ascii="Aptos" w:hAnsi="Aptos" w:cs="Calibri Light"/>
          <w:b/>
          <w:bCs/>
        </w:rPr>
      </w:pPr>
      <w:r w:rsidRPr="00A20B22">
        <w:rPr>
          <w:rFonts w:ascii="Aptos" w:hAnsi="Aptos" w:cs="Calibri Light"/>
          <w:b/>
          <w:bCs/>
        </w:rPr>
        <w:t xml:space="preserve">Pour l’année </w:t>
      </w:r>
      <w:r w:rsidR="000629F8">
        <w:rPr>
          <w:rFonts w:ascii="Aptos" w:hAnsi="Aptos" w:cs="Calibri Light"/>
          <w:b/>
          <w:bCs/>
        </w:rPr>
        <w:t>à venir</w:t>
      </w:r>
      <w:r w:rsidRPr="00A20B22">
        <w:rPr>
          <w:rFonts w:ascii="Aptos" w:hAnsi="Aptos" w:cs="Calibri Light"/>
          <w:b/>
          <w:bCs/>
        </w:rPr>
        <w:t xml:space="preserve">, </w:t>
      </w:r>
      <w:r w:rsidR="00645ACF" w:rsidRPr="00A20B22">
        <w:rPr>
          <w:rFonts w:ascii="Aptos" w:hAnsi="Aptos" w:cs="Calibri Light"/>
          <w:b/>
          <w:bCs/>
        </w:rPr>
        <w:t>l</w:t>
      </w:r>
      <w:r w:rsidRPr="00A20B22">
        <w:rPr>
          <w:rFonts w:ascii="Aptos" w:hAnsi="Aptos" w:cs="Calibri Light"/>
          <w:b/>
          <w:bCs/>
        </w:rPr>
        <w:t>e Budget Primitif 202</w:t>
      </w:r>
      <w:r w:rsidR="00C164CB">
        <w:rPr>
          <w:rFonts w:ascii="Aptos" w:hAnsi="Aptos" w:cs="Calibri Light"/>
          <w:b/>
          <w:bCs/>
        </w:rPr>
        <w:t>6</w:t>
      </w:r>
      <w:r w:rsidRPr="00A20B22">
        <w:rPr>
          <w:rFonts w:ascii="Aptos" w:hAnsi="Aptos" w:cs="Calibri Light"/>
          <w:b/>
          <w:bCs/>
        </w:rPr>
        <w:t xml:space="preserve"> du CCAS devra répondre au mieux aux besoins de la population dinardaise, tout en intégrant le contexte économique national, international ainsi que la situation financière locale.</w:t>
      </w:r>
      <w:r w:rsidRPr="00AC047C">
        <w:rPr>
          <w:rFonts w:ascii="Aptos" w:hAnsi="Aptos" w:cs="Calibri Light"/>
          <w:b/>
          <w:bCs/>
        </w:rPr>
        <w:t xml:space="preserve"> </w:t>
      </w:r>
    </w:p>
    <w:p w14:paraId="590A63BB" w14:textId="77777777" w:rsidR="00664C51" w:rsidRDefault="00664C51">
      <w:pPr>
        <w:rPr>
          <w:rFonts w:ascii="Calibri Light" w:hAnsi="Calibri Light" w:cs="Calibri Light"/>
        </w:rPr>
      </w:pPr>
      <w:r>
        <w:rPr>
          <w:rFonts w:ascii="Calibri Light" w:hAnsi="Calibri Light" w:cs="Calibri Light"/>
        </w:rPr>
        <w:br w:type="page"/>
      </w:r>
    </w:p>
    <w:sdt>
      <w:sdtPr>
        <w:id w:val="-337769880"/>
        <w:docPartObj>
          <w:docPartGallery w:val="Table of Contents"/>
          <w:docPartUnique/>
        </w:docPartObj>
      </w:sdtPr>
      <w:sdtEndPr>
        <w:rPr>
          <w:b/>
          <w:bCs/>
        </w:rPr>
      </w:sdtEndPr>
      <w:sdtContent>
        <w:p w14:paraId="75CEA8C6" w14:textId="77777777" w:rsidR="00664896" w:rsidRDefault="00664896" w:rsidP="00664896">
          <w:pPr>
            <w:rPr>
              <w:rFonts w:ascii="Calibri Light" w:hAnsi="Calibri Light" w:cs="Calibri Light"/>
              <w:b/>
              <w:bCs/>
              <w:color w:val="31849B" w:themeColor="accent5" w:themeShade="BF"/>
              <w:sz w:val="44"/>
              <w:szCs w:val="44"/>
            </w:rPr>
          </w:pPr>
          <w:r w:rsidRPr="00B103E5">
            <w:rPr>
              <w:rFonts w:ascii="Calibri Light" w:hAnsi="Calibri Light" w:cs="Calibri Light"/>
              <w:b/>
              <w:bCs/>
              <w:color w:val="31849B" w:themeColor="accent5" w:themeShade="BF"/>
              <w:sz w:val="44"/>
              <w:szCs w:val="44"/>
            </w:rPr>
            <w:t>Sommaire</w:t>
          </w:r>
        </w:p>
        <w:p w14:paraId="0E613D46" w14:textId="3D243CF6" w:rsidR="00F03756" w:rsidRDefault="00A20B22">
          <w:pPr>
            <w:pStyle w:val="TM1"/>
            <w:tabs>
              <w:tab w:val="left" w:pos="440"/>
              <w:tab w:val="right" w:leader="dot" w:pos="9628"/>
            </w:tabs>
            <w:rPr>
              <w:rFonts w:eastAsiaTheme="minorEastAsia"/>
              <w:b w:val="0"/>
              <w:noProof/>
              <w:kern w:val="2"/>
              <w:szCs w:val="24"/>
              <w:lang w:eastAsia="fr-FR"/>
              <w14:ligatures w14:val="standardContextual"/>
            </w:rPr>
          </w:pPr>
          <w:r>
            <w:fldChar w:fldCharType="begin"/>
          </w:r>
          <w:r>
            <w:instrText xml:space="preserve"> TOC \o "1-3" \h \z \u </w:instrText>
          </w:r>
          <w:r>
            <w:fldChar w:fldCharType="separate"/>
          </w:r>
          <w:hyperlink w:anchor="_Toc213853347" w:history="1">
            <w:r w:rsidR="00F03756" w:rsidRPr="009D3F9F">
              <w:rPr>
                <w:rStyle w:val="Lienhypertexte"/>
                <w:noProof/>
              </w:rPr>
              <w:t>I.</w:t>
            </w:r>
            <w:r w:rsidR="00F03756">
              <w:rPr>
                <w:rFonts w:eastAsiaTheme="minorEastAsia"/>
                <w:b w:val="0"/>
                <w:noProof/>
                <w:kern w:val="2"/>
                <w:szCs w:val="24"/>
                <w:lang w:eastAsia="fr-FR"/>
                <w14:ligatures w14:val="standardContextual"/>
              </w:rPr>
              <w:tab/>
            </w:r>
            <w:r w:rsidR="00F03756" w:rsidRPr="009D3F9F">
              <w:rPr>
                <w:rStyle w:val="Lienhypertexte"/>
                <w:noProof/>
              </w:rPr>
              <w:t>LE CONTEXTE MACRO-ECONOMIQUE</w:t>
            </w:r>
            <w:r w:rsidR="00F03756">
              <w:rPr>
                <w:noProof/>
                <w:webHidden/>
              </w:rPr>
              <w:tab/>
            </w:r>
            <w:r w:rsidR="00F03756">
              <w:rPr>
                <w:noProof/>
                <w:webHidden/>
              </w:rPr>
              <w:fldChar w:fldCharType="begin"/>
            </w:r>
            <w:r w:rsidR="00F03756">
              <w:rPr>
                <w:noProof/>
                <w:webHidden/>
              </w:rPr>
              <w:instrText xml:space="preserve"> PAGEREF _Toc213853347 \h </w:instrText>
            </w:r>
            <w:r w:rsidR="00F03756">
              <w:rPr>
                <w:noProof/>
                <w:webHidden/>
              </w:rPr>
            </w:r>
            <w:r w:rsidR="00F03756">
              <w:rPr>
                <w:noProof/>
                <w:webHidden/>
              </w:rPr>
              <w:fldChar w:fldCharType="separate"/>
            </w:r>
            <w:r w:rsidR="00F03756">
              <w:rPr>
                <w:noProof/>
                <w:webHidden/>
              </w:rPr>
              <w:t>3</w:t>
            </w:r>
            <w:r w:rsidR="00F03756">
              <w:rPr>
                <w:noProof/>
                <w:webHidden/>
              </w:rPr>
              <w:fldChar w:fldCharType="end"/>
            </w:r>
          </w:hyperlink>
        </w:p>
        <w:p w14:paraId="43786CA3" w14:textId="63F62F73" w:rsidR="00F03756" w:rsidRDefault="00F03756">
          <w:pPr>
            <w:pStyle w:val="TM1"/>
            <w:tabs>
              <w:tab w:val="left" w:pos="720"/>
              <w:tab w:val="right" w:leader="dot" w:pos="9628"/>
            </w:tabs>
            <w:rPr>
              <w:rFonts w:eastAsiaTheme="minorEastAsia"/>
              <w:b w:val="0"/>
              <w:noProof/>
              <w:kern w:val="2"/>
              <w:szCs w:val="24"/>
              <w:lang w:eastAsia="fr-FR"/>
              <w14:ligatures w14:val="standardContextual"/>
            </w:rPr>
          </w:pPr>
          <w:hyperlink w:anchor="_Toc213853348" w:history="1">
            <w:r w:rsidRPr="009D3F9F">
              <w:rPr>
                <w:rStyle w:val="Lienhypertexte"/>
                <w:noProof/>
              </w:rPr>
              <w:t>II.</w:t>
            </w:r>
            <w:r>
              <w:rPr>
                <w:rFonts w:eastAsiaTheme="minorEastAsia"/>
                <w:b w:val="0"/>
                <w:noProof/>
                <w:kern w:val="2"/>
                <w:szCs w:val="24"/>
                <w:lang w:eastAsia="fr-FR"/>
                <w14:ligatures w14:val="standardContextual"/>
              </w:rPr>
              <w:tab/>
            </w:r>
            <w:r w:rsidRPr="009D3F9F">
              <w:rPr>
                <w:rStyle w:val="Lienhypertexte"/>
                <w:noProof/>
              </w:rPr>
              <w:t>SITUATION FINANCIERE 2025 DU CCAS DE DINARD</w:t>
            </w:r>
            <w:r>
              <w:rPr>
                <w:noProof/>
                <w:webHidden/>
              </w:rPr>
              <w:tab/>
            </w:r>
            <w:r>
              <w:rPr>
                <w:noProof/>
                <w:webHidden/>
              </w:rPr>
              <w:fldChar w:fldCharType="begin"/>
            </w:r>
            <w:r>
              <w:rPr>
                <w:noProof/>
                <w:webHidden/>
              </w:rPr>
              <w:instrText xml:space="preserve"> PAGEREF _Toc213853348 \h </w:instrText>
            </w:r>
            <w:r>
              <w:rPr>
                <w:noProof/>
                <w:webHidden/>
              </w:rPr>
            </w:r>
            <w:r>
              <w:rPr>
                <w:noProof/>
                <w:webHidden/>
              </w:rPr>
              <w:fldChar w:fldCharType="separate"/>
            </w:r>
            <w:r>
              <w:rPr>
                <w:noProof/>
                <w:webHidden/>
              </w:rPr>
              <w:t>5</w:t>
            </w:r>
            <w:r>
              <w:rPr>
                <w:noProof/>
                <w:webHidden/>
              </w:rPr>
              <w:fldChar w:fldCharType="end"/>
            </w:r>
          </w:hyperlink>
        </w:p>
        <w:p w14:paraId="7DEC8A9E" w14:textId="3BD4940F" w:rsidR="00F03756" w:rsidRDefault="00F03756">
          <w:pPr>
            <w:pStyle w:val="TM2"/>
            <w:tabs>
              <w:tab w:val="left" w:pos="720"/>
              <w:tab w:val="right" w:leader="dot" w:pos="9628"/>
            </w:tabs>
            <w:rPr>
              <w:rFonts w:eastAsiaTheme="minorEastAsia"/>
              <w:noProof/>
              <w:kern w:val="2"/>
              <w:szCs w:val="24"/>
              <w:lang w:eastAsia="fr-FR"/>
              <w14:ligatures w14:val="standardContextual"/>
            </w:rPr>
          </w:pPr>
          <w:hyperlink w:anchor="_Toc213853349" w:history="1">
            <w:r w:rsidRPr="009D3F9F">
              <w:rPr>
                <w:rStyle w:val="Lienhypertexte"/>
                <w:noProof/>
              </w:rPr>
              <w:t>1.</w:t>
            </w:r>
            <w:r>
              <w:rPr>
                <w:rFonts w:eastAsiaTheme="minorEastAsia"/>
                <w:noProof/>
                <w:kern w:val="2"/>
                <w:szCs w:val="24"/>
                <w:lang w:eastAsia="fr-FR"/>
                <w14:ligatures w14:val="standardContextual"/>
              </w:rPr>
              <w:tab/>
            </w:r>
            <w:r w:rsidRPr="009D3F9F">
              <w:rPr>
                <w:rStyle w:val="Lienhypertexte"/>
                <w:noProof/>
              </w:rPr>
              <w:t>Recettes de fonctionnement</w:t>
            </w:r>
            <w:r>
              <w:rPr>
                <w:noProof/>
                <w:webHidden/>
              </w:rPr>
              <w:tab/>
            </w:r>
            <w:r>
              <w:rPr>
                <w:noProof/>
                <w:webHidden/>
              </w:rPr>
              <w:fldChar w:fldCharType="begin"/>
            </w:r>
            <w:r>
              <w:rPr>
                <w:noProof/>
                <w:webHidden/>
              </w:rPr>
              <w:instrText xml:space="preserve"> PAGEREF _Toc213853349 \h </w:instrText>
            </w:r>
            <w:r>
              <w:rPr>
                <w:noProof/>
                <w:webHidden/>
              </w:rPr>
            </w:r>
            <w:r>
              <w:rPr>
                <w:noProof/>
                <w:webHidden/>
              </w:rPr>
              <w:fldChar w:fldCharType="separate"/>
            </w:r>
            <w:r>
              <w:rPr>
                <w:noProof/>
                <w:webHidden/>
              </w:rPr>
              <w:t>5</w:t>
            </w:r>
            <w:r>
              <w:rPr>
                <w:noProof/>
                <w:webHidden/>
              </w:rPr>
              <w:fldChar w:fldCharType="end"/>
            </w:r>
          </w:hyperlink>
        </w:p>
        <w:p w14:paraId="768ED4B1" w14:textId="059B645E" w:rsidR="00F03756" w:rsidRDefault="00F03756">
          <w:pPr>
            <w:pStyle w:val="TM2"/>
            <w:tabs>
              <w:tab w:val="left" w:pos="720"/>
              <w:tab w:val="right" w:leader="dot" w:pos="9628"/>
            </w:tabs>
            <w:rPr>
              <w:rFonts w:eastAsiaTheme="minorEastAsia"/>
              <w:noProof/>
              <w:kern w:val="2"/>
              <w:szCs w:val="24"/>
              <w:lang w:eastAsia="fr-FR"/>
              <w14:ligatures w14:val="standardContextual"/>
            </w:rPr>
          </w:pPr>
          <w:hyperlink w:anchor="_Toc213853350" w:history="1">
            <w:r w:rsidRPr="009D3F9F">
              <w:rPr>
                <w:rStyle w:val="Lienhypertexte"/>
                <w:noProof/>
              </w:rPr>
              <w:t>2.</w:t>
            </w:r>
            <w:r>
              <w:rPr>
                <w:rFonts w:eastAsiaTheme="minorEastAsia"/>
                <w:noProof/>
                <w:kern w:val="2"/>
                <w:szCs w:val="24"/>
                <w:lang w:eastAsia="fr-FR"/>
                <w14:ligatures w14:val="standardContextual"/>
              </w:rPr>
              <w:tab/>
            </w:r>
            <w:r w:rsidRPr="009D3F9F">
              <w:rPr>
                <w:rStyle w:val="Lienhypertexte"/>
                <w:noProof/>
              </w:rPr>
              <w:t>Dépenses de fonctionnement</w:t>
            </w:r>
            <w:r>
              <w:rPr>
                <w:noProof/>
                <w:webHidden/>
              </w:rPr>
              <w:tab/>
            </w:r>
            <w:r>
              <w:rPr>
                <w:noProof/>
                <w:webHidden/>
              </w:rPr>
              <w:fldChar w:fldCharType="begin"/>
            </w:r>
            <w:r>
              <w:rPr>
                <w:noProof/>
                <w:webHidden/>
              </w:rPr>
              <w:instrText xml:space="preserve"> PAGEREF _Toc213853350 \h </w:instrText>
            </w:r>
            <w:r>
              <w:rPr>
                <w:noProof/>
                <w:webHidden/>
              </w:rPr>
            </w:r>
            <w:r>
              <w:rPr>
                <w:noProof/>
                <w:webHidden/>
              </w:rPr>
              <w:fldChar w:fldCharType="separate"/>
            </w:r>
            <w:r>
              <w:rPr>
                <w:noProof/>
                <w:webHidden/>
              </w:rPr>
              <w:t>5</w:t>
            </w:r>
            <w:r>
              <w:rPr>
                <w:noProof/>
                <w:webHidden/>
              </w:rPr>
              <w:fldChar w:fldCharType="end"/>
            </w:r>
          </w:hyperlink>
        </w:p>
        <w:p w14:paraId="60828FE5" w14:textId="29B952BB" w:rsidR="00F03756" w:rsidRDefault="00F03756">
          <w:pPr>
            <w:pStyle w:val="TM3"/>
            <w:tabs>
              <w:tab w:val="left" w:pos="960"/>
              <w:tab w:val="right" w:leader="dot" w:pos="9628"/>
            </w:tabs>
            <w:rPr>
              <w:rFonts w:eastAsiaTheme="minorEastAsia"/>
              <w:noProof/>
              <w:kern w:val="2"/>
              <w:sz w:val="24"/>
              <w:szCs w:val="24"/>
              <w:lang w:eastAsia="fr-FR"/>
              <w14:ligatures w14:val="standardContextual"/>
            </w:rPr>
          </w:pPr>
          <w:hyperlink w:anchor="_Toc213853351" w:history="1">
            <w:r w:rsidRPr="009D3F9F">
              <w:rPr>
                <w:rStyle w:val="Lienhypertexte"/>
                <w:rFonts w:eastAsia="Times New Roman"/>
                <w:noProof/>
                <w:lang w:eastAsia="fr-FR"/>
              </w:rPr>
              <w:t>-</w:t>
            </w:r>
            <w:r>
              <w:rPr>
                <w:rFonts w:eastAsiaTheme="minorEastAsia"/>
                <w:noProof/>
                <w:kern w:val="2"/>
                <w:sz w:val="24"/>
                <w:szCs w:val="24"/>
                <w:lang w:eastAsia="fr-FR"/>
                <w14:ligatures w14:val="standardContextual"/>
              </w:rPr>
              <w:tab/>
            </w:r>
            <w:r w:rsidRPr="009D3F9F">
              <w:rPr>
                <w:rStyle w:val="Lienhypertexte"/>
                <w:noProof/>
                <w:lang w:eastAsia="fr-FR"/>
              </w:rPr>
              <w:t>Dépenses de fonctionnement (hors masse salariale)</w:t>
            </w:r>
            <w:r>
              <w:rPr>
                <w:noProof/>
                <w:webHidden/>
              </w:rPr>
              <w:tab/>
            </w:r>
            <w:r>
              <w:rPr>
                <w:noProof/>
                <w:webHidden/>
              </w:rPr>
              <w:fldChar w:fldCharType="begin"/>
            </w:r>
            <w:r>
              <w:rPr>
                <w:noProof/>
                <w:webHidden/>
              </w:rPr>
              <w:instrText xml:space="preserve"> PAGEREF _Toc213853351 \h </w:instrText>
            </w:r>
            <w:r>
              <w:rPr>
                <w:noProof/>
                <w:webHidden/>
              </w:rPr>
            </w:r>
            <w:r>
              <w:rPr>
                <w:noProof/>
                <w:webHidden/>
              </w:rPr>
              <w:fldChar w:fldCharType="separate"/>
            </w:r>
            <w:r>
              <w:rPr>
                <w:noProof/>
                <w:webHidden/>
              </w:rPr>
              <w:t>5</w:t>
            </w:r>
            <w:r>
              <w:rPr>
                <w:noProof/>
                <w:webHidden/>
              </w:rPr>
              <w:fldChar w:fldCharType="end"/>
            </w:r>
          </w:hyperlink>
        </w:p>
        <w:p w14:paraId="0BD73F4D" w14:textId="47F5D2F8" w:rsidR="00F03756" w:rsidRDefault="00F03756">
          <w:pPr>
            <w:pStyle w:val="TM3"/>
            <w:tabs>
              <w:tab w:val="left" w:pos="960"/>
              <w:tab w:val="right" w:leader="dot" w:pos="9628"/>
            </w:tabs>
            <w:rPr>
              <w:rFonts w:eastAsiaTheme="minorEastAsia"/>
              <w:noProof/>
              <w:kern w:val="2"/>
              <w:sz w:val="24"/>
              <w:szCs w:val="24"/>
              <w:lang w:eastAsia="fr-FR"/>
              <w14:ligatures w14:val="standardContextual"/>
            </w:rPr>
          </w:pPr>
          <w:hyperlink w:anchor="_Toc213853352" w:history="1">
            <w:r w:rsidRPr="009D3F9F">
              <w:rPr>
                <w:rStyle w:val="Lienhypertexte"/>
                <w:rFonts w:eastAsia="Times New Roman"/>
                <w:noProof/>
                <w:lang w:eastAsia="fr-FR"/>
              </w:rPr>
              <w:t>-</w:t>
            </w:r>
            <w:r>
              <w:rPr>
                <w:rFonts w:eastAsiaTheme="minorEastAsia"/>
                <w:noProof/>
                <w:kern w:val="2"/>
                <w:sz w:val="24"/>
                <w:szCs w:val="24"/>
                <w:lang w:eastAsia="fr-FR"/>
                <w14:ligatures w14:val="standardContextual"/>
              </w:rPr>
              <w:tab/>
            </w:r>
            <w:r w:rsidRPr="009D3F9F">
              <w:rPr>
                <w:rStyle w:val="Lienhypertexte"/>
                <w:noProof/>
                <w:lang w:eastAsia="fr-FR"/>
              </w:rPr>
              <w:t>Dépenses de personnel</w:t>
            </w:r>
            <w:r>
              <w:rPr>
                <w:noProof/>
                <w:webHidden/>
              </w:rPr>
              <w:tab/>
            </w:r>
            <w:r>
              <w:rPr>
                <w:noProof/>
                <w:webHidden/>
              </w:rPr>
              <w:fldChar w:fldCharType="begin"/>
            </w:r>
            <w:r>
              <w:rPr>
                <w:noProof/>
                <w:webHidden/>
              </w:rPr>
              <w:instrText xml:space="preserve"> PAGEREF _Toc213853352 \h </w:instrText>
            </w:r>
            <w:r>
              <w:rPr>
                <w:noProof/>
                <w:webHidden/>
              </w:rPr>
            </w:r>
            <w:r>
              <w:rPr>
                <w:noProof/>
                <w:webHidden/>
              </w:rPr>
              <w:fldChar w:fldCharType="separate"/>
            </w:r>
            <w:r>
              <w:rPr>
                <w:noProof/>
                <w:webHidden/>
              </w:rPr>
              <w:t>5</w:t>
            </w:r>
            <w:r>
              <w:rPr>
                <w:noProof/>
                <w:webHidden/>
              </w:rPr>
              <w:fldChar w:fldCharType="end"/>
            </w:r>
          </w:hyperlink>
        </w:p>
        <w:p w14:paraId="5BA43128" w14:textId="13CB10A3" w:rsidR="00F03756" w:rsidRDefault="00F03756">
          <w:pPr>
            <w:pStyle w:val="TM2"/>
            <w:tabs>
              <w:tab w:val="left" w:pos="720"/>
              <w:tab w:val="right" w:leader="dot" w:pos="9628"/>
            </w:tabs>
            <w:rPr>
              <w:rFonts w:eastAsiaTheme="minorEastAsia"/>
              <w:noProof/>
              <w:kern w:val="2"/>
              <w:szCs w:val="24"/>
              <w:lang w:eastAsia="fr-FR"/>
              <w14:ligatures w14:val="standardContextual"/>
            </w:rPr>
          </w:pPr>
          <w:hyperlink w:anchor="_Toc213853353" w:history="1">
            <w:r w:rsidRPr="009D3F9F">
              <w:rPr>
                <w:rStyle w:val="Lienhypertexte"/>
                <w:noProof/>
              </w:rPr>
              <w:t>3.</w:t>
            </w:r>
            <w:r>
              <w:rPr>
                <w:rFonts w:eastAsiaTheme="minorEastAsia"/>
                <w:noProof/>
                <w:kern w:val="2"/>
                <w:szCs w:val="24"/>
                <w:lang w:eastAsia="fr-FR"/>
                <w14:ligatures w14:val="standardContextual"/>
              </w:rPr>
              <w:tab/>
            </w:r>
            <w:r w:rsidRPr="009D3F9F">
              <w:rPr>
                <w:rStyle w:val="Lienhypertexte"/>
                <w:noProof/>
              </w:rPr>
              <w:t>Investissements</w:t>
            </w:r>
            <w:r>
              <w:rPr>
                <w:noProof/>
                <w:webHidden/>
              </w:rPr>
              <w:tab/>
            </w:r>
            <w:r>
              <w:rPr>
                <w:noProof/>
                <w:webHidden/>
              </w:rPr>
              <w:fldChar w:fldCharType="begin"/>
            </w:r>
            <w:r>
              <w:rPr>
                <w:noProof/>
                <w:webHidden/>
              </w:rPr>
              <w:instrText xml:space="preserve"> PAGEREF _Toc213853353 \h </w:instrText>
            </w:r>
            <w:r>
              <w:rPr>
                <w:noProof/>
                <w:webHidden/>
              </w:rPr>
            </w:r>
            <w:r>
              <w:rPr>
                <w:noProof/>
                <w:webHidden/>
              </w:rPr>
              <w:fldChar w:fldCharType="separate"/>
            </w:r>
            <w:r>
              <w:rPr>
                <w:noProof/>
                <w:webHidden/>
              </w:rPr>
              <w:t>6</w:t>
            </w:r>
            <w:r>
              <w:rPr>
                <w:noProof/>
                <w:webHidden/>
              </w:rPr>
              <w:fldChar w:fldCharType="end"/>
            </w:r>
          </w:hyperlink>
        </w:p>
        <w:p w14:paraId="44FEB09C" w14:textId="5F6FCA4D" w:rsidR="00F03756" w:rsidRDefault="00F03756">
          <w:pPr>
            <w:pStyle w:val="TM1"/>
            <w:tabs>
              <w:tab w:val="left" w:pos="720"/>
              <w:tab w:val="right" w:leader="dot" w:pos="9628"/>
            </w:tabs>
            <w:rPr>
              <w:rFonts w:eastAsiaTheme="minorEastAsia"/>
              <w:b w:val="0"/>
              <w:noProof/>
              <w:kern w:val="2"/>
              <w:szCs w:val="24"/>
              <w:lang w:eastAsia="fr-FR"/>
              <w14:ligatures w14:val="standardContextual"/>
            </w:rPr>
          </w:pPr>
          <w:hyperlink w:anchor="_Toc213853354" w:history="1">
            <w:r w:rsidRPr="009D3F9F">
              <w:rPr>
                <w:rStyle w:val="Lienhypertexte"/>
                <w:noProof/>
              </w:rPr>
              <w:t>III.</w:t>
            </w:r>
            <w:r>
              <w:rPr>
                <w:rFonts w:eastAsiaTheme="minorEastAsia"/>
                <w:b w:val="0"/>
                <w:noProof/>
                <w:kern w:val="2"/>
                <w:szCs w:val="24"/>
                <w:lang w:eastAsia="fr-FR"/>
                <w14:ligatures w14:val="standardContextual"/>
              </w:rPr>
              <w:tab/>
            </w:r>
            <w:r w:rsidRPr="009D3F9F">
              <w:rPr>
                <w:rStyle w:val="Lienhypertexte"/>
                <w:noProof/>
              </w:rPr>
              <w:t>CONSTRUCTION DU BUDGET PRIMITIF 2026 DU CCAS</w:t>
            </w:r>
            <w:r>
              <w:rPr>
                <w:noProof/>
                <w:webHidden/>
              </w:rPr>
              <w:tab/>
            </w:r>
            <w:r>
              <w:rPr>
                <w:noProof/>
                <w:webHidden/>
              </w:rPr>
              <w:fldChar w:fldCharType="begin"/>
            </w:r>
            <w:r>
              <w:rPr>
                <w:noProof/>
                <w:webHidden/>
              </w:rPr>
              <w:instrText xml:space="preserve"> PAGEREF _Toc213853354 \h </w:instrText>
            </w:r>
            <w:r>
              <w:rPr>
                <w:noProof/>
                <w:webHidden/>
              </w:rPr>
            </w:r>
            <w:r>
              <w:rPr>
                <w:noProof/>
                <w:webHidden/>
              </w:rPr>
              <w:fldChar w:fldCharType="separate"/>
            </w:r>
            <w:r>
              <w:rPr>
                <w:noProof/>
                <w:webHidden/>
              </w:rPr>
              <w:t>6</w:t>
            </w:r>
            <w:r>
              <w:rPr>
                <w:noProof/>
                <w:webHidden/>
              </w:rPr>
              <w:fldChar w:fldCharType="end"/>
            </w:r>
          </w:hyperlink>
        </w:p>
        <w:p w14:paraId="79CA2BC8" w14:textId="3E2E9368" w:rsidR="00F03756" w:rsidRDefault="00F03756">
          <w:pPr>
            <w:pStyle w:val="TM2"/>
            <w:tabs>
              <w:tab w:val="left" w:pos="720"/>
              <w:tab w:val="right" w:leader="dot" w:pos="9628"/>
            </w:tabs>
            <w:rPr>
              <w:rFonts w:eastAsiaTheme="minorEastAsia"/>
              <w:noProof/>
              <w:kern w:val="2"/>
              <w:szCs w:val="24"/>
              <w:lang w:eastAsia="fr-FR"/>
              <w14:ligatures w14:val="standardContextual"/>
            </w:rPr>
          </w:pPr>
          <w:hyperlink w:anchor="_Toc213853355" w:history="1">
            <w:r w:rsidRPr="009D3F9F">
              <w:rPr>
                <w:rStyle w:val="Lienhypertexte"/>
                <w:noProof/>
                <w:lang w:eastAsia="fr-FR"/>
              </w:rPr>
              <w:t>1.</w:t>
            </w:r>
            <w:r>
              <w:rPr>
                <w:rFonts w:eastAsiaTheme="minorEastAsia"/>
                <w:noProof/>
                <w:kern w:val="2"/>
                <w:szCs w:val="24"/>
                <w:lang w:eastAsia="fr-FR"/>
                <w14:ligatures w14:val="standardContextual"/>
              </w:rPr>
              <w:tab/>
            </w:r>
            <w:r w:rsidRPr="009D3F9F">
              <w:rPr>
                <w:rStyle w:val="Lienhypertexte"/>
                <w:noProof/>
                <w:lang w:eastAsia="fr-FR"/>
              </w:rPr>
              <w:t>Projection financière de la section de fonctionnement</w:t>
            </w:r>
            <w:r>
              <w:rPr>
                <w:noProof/>
                <w:webHidden/>
              </w:rPr>
              <w:tab/>
            </w:r>
            <w:r>
              <w:rPr>
                <w:noProof/>
                <w:webHidden/>
              </w:rPr>
              <w:fldChar w:fldCharType="begin"/>
            </w:r>
            <w:r>
              <w:rPr>
                <w:noProof/>
                <w:webHidden/>
              </w:rPr>
              <w:instrText xml:space="preserve"> PAGEREF _Toc213853355 \h </w:instrText>
            </w:r>
            <w:r>
              <w:rPr>
                <w:noProof/>
                <w:webHidden/>
              </w:rPr>
            </w:r>
            <w:r>
              <w:rPr>
                <w:noProof/>
                <w:webHidden/>
              </w:rPr>
              <w:fldChar w:fldCharType="separate"/>
            </w:r>
            <w:r>
              <w:rPr>
                <w:noProof/>
                <w:webHidden/>
              </w:rPr>
              <w:t>6</w:t>
            </w:r>
            <w:r>
              <w:rPr>
                <w:noProof/>
                <w:webHidden/>
              </w:rPr>
              <w:fldChar w:fldCharType="end"/>
            </w:r>
          </w:hyperlink>
        </w:p>
        <w:p w14:paraId="5BFE9310" w14:textId="10AF108E" w:rsidR="00F03756" w:rsidRDefault="00F03756">
          <w:pPr>
            <w:pStyle w:val="TM3"/>
            <w:tabs>
              <w:tab w:val="left" w:pos="960"/>
              <w:tab w:val="right" w:leader="dot" w:pos="9628"/>
            </w:tabs>
            <w:rPr>
              <w:rFonts w:eastAsiaTheme="minorEastAsia"/>
              <w:noProof/>
              <w:kern w:val="2"/>
              <w:sz w:val="24"/>
              <w:szCs w:val="24"/>
              <w:lang w:eastAsia="fr-FR"/>
              <w14:ligatures w14:val="standardContextual"/>
            </w:rPr>
          </w:pPr>
          <w:hyperlink w:anchor="_Toc213853356" w:history="1">
            <w:r w:rsidRPr="009D3F9F">
              <w:rPr>
                <w:rStyle w:val="Lienhypertexte"/>
                <w:rFonts w:eastAsia="Times New Roman"/>
                <w:noProof/>
                <w:lang w:eastAsia="fr-FR"/>
              </w:rPr>
              <w:t>-</w:t>
            </w:r>
            <w:r>
              <w:rPr>
                <w:rFonts w:eastAsiaTheme="minorEastAsia"/>
                <w:noProof/>
                <w:kern w:val="2"/>
                <w:sz w:val="24"/>
                <w:szCs w:val="24"/>
                <w:lang w:eastAsia="fr-FR"/>
                <w14:ligatures w14:val="standardContextual"/>
              </w:rPr>
              <w:tab/>
            </w:r>
            <w:r w:rsidRPr="009D3F9F">
              <w:rPr>
                <w:rStyle w:val="Lienhypertexte"/>
                <w:noProof/>
                <w:lang w:eastAsia="fr-FR"/>
              </w:rPr>
              <w:t>Recettes de fonctionnement</w:t>
            </w:r>
            <w:r>
              <w:rPr>
                <w:noProof/>
                <w:webHidden/>
              </w:rPr>
              <w:tab/>
            </w:r>
            <w:r>
              <w:rPr>
                <w:noProof/>
                <w:webHidden/>
              </w:rPr>
              <w:fldChar w:fldCharType="begin"/>
            </w:r>
            <w:r>
              <w:rPr>
                <w:noProof/>
                <w:webHidden/>
              </w:rPr>
              <w:instrText xml:space="preserve"> PAGEREF _Toc213853356 \h </w:instrText>
            </w:r>
            <w:r>
              <w:rPr>
                <w:noProof/>
                <w:webHidden/>
              </w:rPr>
            </w:r>
            <w:r>
              <w:rPr>
                <w:noProof/>
                <w:webHidden/>
              </w:rPr>
              <w:fldChar w:fldCharType="separate"/>
            </w:r>
            <w:r>
              <w:rPr>
                <w:noProof/>
                <w:webHidden/>
              </w:rPr>
              <w:t>6</w:t>
            </w:r>
            <w:r>
              <w:rPr>
                <w:noProof/>
                <w:webHidden/>
              </w:rPr>
              <w:fldChar w:fldCharType="end"/>
            </w:r>
          </w:hyperlink>
        </w:p>
        <w:p w14:paraId="505CACF2" w14:textId="4BAD624F" w:rsidR="00F03756" w:rsidRDefault="00F03756">
          <w:pPr>
            <w:pStyle w:val="TM3"/>
            <w:tabs>
              <w:tab w:val="left" w:pos="960"/>
              <w:tab w:val="right" w:leader="dot" w:pos="9628"/>
            </w:tabs>
            <w:rPr>
              <w:rFonts w:eastAsiaTheme="minorEastAsia"/>
              <w:noProof/>
              <w:kern w:val="2"/>
              <w:sz w:val="24"/>
              <w:szCs w:val="24"/>
              <w:lang w:eastAsia="fr-FR"/>
              <w14:ligatures w14:val="standardContextual"/>
            </w:rPr>
          </w:pPr>
          <w:hyperlink w:anchor="_Toc213853357" w:history="1">
            <w:r w:rsidRPr="009D3F9F">
              <w:rPr>
                <w:rStyle w:val="Lienhypertexte"/>
                <w:rFonts w:eastAsia="Times New Roman"/>
                <w:noProof/>
                <w:lang w:eastAsia="fr-FR"/>
              </w:rPr>
              <w:t>-</w:t>
            </w:r>
            <w:r>
              <w:rPr>
                <w:rFonts w:eastAsiaTheme="minorEastAsia"/>
                <w:noProof/>
                <w:kern w:val="2"/>
                <w:sz w:val="24"/>
                <w:szCs w:val="24"/>
                <w:lang w:eastAsia="fr-FR"/>
                <w14:ligatures w14:val="standardContextual"/>
              </w:rPr>
              <w:tab/>
            </w:r>
            <w:r w:rsidRPr="009D3F9F">
              <w:rPr>
                <w:rStyle w:val="Lienhypertexte"/>
                <w:noProof/>
                <w:lang w:eastAsia="fr-FR"/>
              </w:rPr>
              <w:t>Dépenses de fonctionnement (hors masse salariale)</w:t>
            </w:r>
            <w:r>
              <w:rPr>
                <w:noProof/>
                <w:webHidden/>
              </w:rPr>
              <w:tab/>
            </w:r>
            <w:r>
              <w:rPr>
                <w:noProof/>
                <w:webHidden/>
              </w:rPr>
              <w:fldChar w:fldCharType="begin"/>
            </w:r>
            <w:r>
              <w:rPr>
                <w:noProof/>
                <w:webHidden/>
              </w:rPr>
              <w:instrText xml:space="preserve"> PAGEREF _Toc213853357 \h </w:instrText>
            </w:r>
            <w:r>
              <w:rPr>
                <w:noProof/>
                <w:webHidden/>
              </w:rPr>
            </w:r>
            <w:r>
              <w:rPr>
                <w:noProof/>
                <w:webHidden/>
              </w:rPr>
              <w:fldChar w:fldCharType="separate"/>
            </w:r>
            <w:r>
              <w:rPr>
                <w:noProof/>
                <w:webHidden/>
              </w:rPr>
              <w:t>7</w:t>
            </w:r>
            <w:r>
              <w:rPr>
                <w:noProof/>
                <w:webHidden/>
              </w:rPr>
              <w:fldChar w:fldCharType="end"/>
            </w:r>
          </w:hyperlink>
        </w:p>
        <w:p w14:paraId="0E639B7B" w14:textId="2908928C" w:rsidR="00F03756" w:rsidRDefault="00F03756">
          <w:pPr>
            <w:pStyle w:val="TM3"/>
            <w:tabs>
              <w:tab w:val="left" w:pos="960"/>
              <w:tab w:val="right" w:leader="dot" w:pos="9628"/>
            </w:tabs>
            <w:rPr>
              <w:rFonts w:eastAsiaTheme="minorEastAsia"/>
              <w:noProof/>
              <w:kern w:val="2"/>
              <w:sz w:val="24"/>
              <w:szCs w:val="24"/>
              <w:lang w:eastAsia="fr-FR"/>
              <w14:ligatures w14:val="standardContextual"/>
            </w:rPr>
          </w:pPr>
          <w:hyperlink w:anchor="_Toc213853358" w:history="1">
            <w:r w:rsidRPr="009D3F9F">
              <w:rPr>
                <w:rStyle w:val="Lienhypertexte"/>
                <w:rFonts w:eastAsia="Times New Roman"/>
                <w:noProof/>
                <w:lang w:eastAsia="fr-FR"/>
              </w:rPr>
              <w:t>-</w:t>
            </w:r>
            <w:r>
              <w:rPr>
                <w:rFonts w:eastAsiaTheme="minorEastAsia"/>
                <w:noProof/>
                <w:kern w:val="2"/>
                <w:sz w:val="24"/>
                <w:szCs w:val="24"/>
                <w:lang w:eastAsia="fr-FR"/>
                <w14:ligatures w14:val="standardContextual"/>
              </w:rPr>
              <w:tab/>
            </w:r>
            <w:r w:rsidRPr="009D3F9F">
              <w:rPr>
                <w:rStyle w:val="Lienhypertexte"/>
                <w:noProof/>
                <w:lang w:eastAsia="fr-FR"/>
              </w:rPr>
              <w:t>Evolution de la masse salariale</w:t>
            </w:r>
            <w:r>
              <w:rPr>
                <w:noProof/>
                <w:webHidden/>
              </w:rPr>
              <w:tab/>
            </w:r>
            <w:r>
              <w:rPr>
                <w:noProof/>
                <w:webHidden/>
              </w:rPr>
              <w:fldChar w:fldCharType="begin"/>
            </w:r>
            <w:r>
              <w:rPr>
                <w:noProof/>
                <w:webHidden/>
              </w:rPr>
              <w:instrText xml:space="preserve"> PAGEREF _Toc213853358 \h </w:instrText>
            </w:r>
            <w:r>
              <w:rPr>
                <w:noProof/>
                <w:webHidden/>
              </w:rPr>
            </w:r>
            <w:r>
              <w:rPr>
                <w:noProof/>
                <w:webHidden/>
              </w:rPr>
              <w:fldChar w:fldCharType="separate"/>
            </w:r>
            <w:r>
              <w:rPr>
                <w:noProof/>
                <w:webHidden/>
              </w:rPr>
              <w:t>7</w:t>
            </w:r>
            <w:r>
              <w:rPr>
                <w:noProof/>
                <w:webHidden/>
              </w:rPr>
              <w:fldChar w:fldCharType="end"/>
            </w:r>
          </w:hyperlink>
        </w:p>
        <w:p w14:paraId="1E506FD0" w14:textId="717A7838" w:rsidR="00F03756" w:rsidRDefault="00F03756">
          <w:pPr>
            <w:pStyle w:val="TM2"/>
            <w:tabs>
              <w:tab w:val="left" w:pos="720"/>
              <w:tab w:val="right" w:leader="dot" w:pos="9628"/>
            </w:tabs>
            <w:rPr>
              <w:rFonts w:eastAsiaTheme="minorEastAsia"/>
              <w:noProof/>
              <w:kern w:val="2"/>
              <w:szCs w:val="24"/>
              <w:lang w:eastAsia="fr-FR"/>
              <w14:ligatures w14:val="standardContextual"/>
            </w:rPr>
          </w:pPr>
          <w:hyperlink w:anchor="_Toc213853359" w:history="1">
            <w:r w:rsidRPr="009D3F9F">
              <w:rPr>
                <w:rStyle w:val="Lienhypertexte"/>
                <w:noProof/>
                <w:lang w:eastAsia="fr-FR"/>
              </w:rPr>
              <w:t>2.</w:t>
            </w:r>
            <w:r>
              <w:rPr>
                <w:rFonts w:eastAsiaTheme="minorEastAsia"/>
                <w:noProof/>
                <w:kern w:val="2"/>
                <w:szCs w:val="24"/>
                <w:lang w:eastAsia="fr-FR"/>
                <w14:ligatures w14:val="standardContextual"/>
              </w:rPr>
              <w:tab/>
            </w:r>
            <w:r w:rsidRPr="009D3F9F">
              <w:rPr>
                <w:rStyle w:val="Lienhypertexte"/>
                <w:noProof/>
                <w:lang w:eastAsia="fr-FR"/>
              </w:rPr>
              <w:t xml:space="preserve">Projets </w:t>
            </w:r>
            <w:r w:rsidRPr="009D3F9F">
              <w:rPr>
                <w:rStyle w:val="Lienhypertexte"/>
                <w:noProof/>
              </w:rPr>
              <w:t>d’investissement</w:t>
            </w:r>
            <w:r w:rsidRPr="009D3F9F">
              <w:rPr>
                <w:rStyle w:val="Lienhypertexte"/>
                <w:noProof/>
                <w:lang w:eastAsia="fr-FR"/>
              </w:rPr>
              <w:t xml:space="preserve"> 2026</w:t>
            </w:r>
            <w:r>
              <w:rPr>
                <w:noProof/>
                <w:webHidden/>
              </w:rPr>
              <w:tab/>
            </w:r>
            <w:r>
              <w:rPr>
                <w:noProof/>
                <w:webHidden/>
              </w:rPr>
              <w:fldChar w:fldCharType="begin"/>
            </w:r>
            <w:r>
              <w:rPr>
                <w:noProof/>
                <w:webHidden/>
              </w:rPr>
              <w:instrText xml:space="preserve"> PAGEREF _Toc213853359 \h </w:instrText>
            </w:r>
            <w:r>
              <w:rPr>
                <w:noProof/>
                <w:webHidden/>
              </w:rPr>
            </w:r>
            <w:r>
              <w:rPr>
                <w:noProof/>
                <w:webHidden/>
              </w:rPr>
              <w:fldChar w:fldCharType="separate"/>
            </w:r>
            <w:r>
              <w:rPr>
                <w:noProof/>
                <w:webHidden/>
              </w:rPr>
              <w:t>7</w:t>
            </w:r>
            <w:r>
              <w:rPr>
                <w:noProof/>
                <w:webHidden/>
              </w:rPr>
              <w:fldChar w:fldCharType="end"/>
            </w:r>
          </w:hyperlink>
        </w:p>
        <w:p w14:paraId="0EDE45E6" w14:textId="295A25CD" w:rsidR="00F03756" w:rsidRDefault="00F03756">
          <w:pPr>
            <w:pStyle w:val="TM1"/>
            <w:tabs>
              <w:tab w:val="left" w:pos="720"/>
              <w:tab w:val="right" w:leader="dot" w:pos="9628"/>
            </w:tabs>
            <w:rPr>
              <w:rFonts w:eastAsiaTheme="minorEastAsia"/>
              <w:b w:val="0"/>
              <w:noProof/>
              <w:kern w:val="2"/>
              <w:szCs w:val="24"/>
              <w:lang w:eastAsia="fr-FR"/>
              <w14:ligatures w14:val="standardContextual"/>
            </w:rPr>
          </w:pPr>
          <w:hyperlink w:anchor="_Toc213853360" w:history="1">
            <w:r w:rsidRPr="009D3F9F">
              <w:rPr>
                <w:rStyle w:val="Lienhypertexte"/>
                <w:rFonts w:eastAsia="Times New Roman"/>
                <w:noProof/>
                <w:lang w:eastAsia="fr-FR"/>
              </w:rPr>
              <w:t>IV.</w:t>
            </w:r>
            <w:r>
              <w:rPr>
                <w:rFonts w:eastAsiaTheme="minorEastAsia"/>
                <w:b w:val="0"/>
                <w:noProof/>
                <w:kern w:val="2"/>
                <w:szCs w:val="24"/>
                <w:lang w:eastAsia="fr-FR"/>
                <w14:ligatures w14:val="standardContextual"/>
              </w:rPr>
              <w:tab/>
            </w:r>
            <w:r w:rsidRPr="009D3F9F">
              <w:rPr>
                <w:rStyle w:val="Lienhypertexte"/>
                <w:noProof/>
              </w:rPr>
              <w:t>SITUATION FINANCIERE 2025 DE LA RESIDENCE AUTONOMIE DUPUY</w:t>
            </w:r>
            <w:r>
              <w:rPr>
                <w:noProof/>
                <w:webHidden/>
              </w:rPr>
              <w:tab/>
            </w:r>
            <w:r>
              <w:rPr>
                <w:noProof/>
                <w:webHidden/>
              </w:rPr>
              <w:fldChar w:fldCharType="begin"/>
            </w:r>
            <w:r>
              <w:rPr>
                <w:noProof/>
                <w:webHidden/>
              </w:rPr>
              <w:instrText xml:space="preserve"> PAGEREF _Toc213853360 \h </w:instrText>
            </w:r>
            <w:r>
              <w:rPr>
                <w:noProof/>
                <w:webHidden/>
              </w:rPr>
            </w:r>
            <w:r>
              <w:rPr>
                <w:noProof/>
                <w:webHidden/>
              </w:rPr>
              <w:fldChar w:fldCharType="separate"/>
            </w:r>
            <w:r>
              <w:rPr>
                <w:noProof/>
                <w:webHidden/>
              </w:rPr>
              <w:t>9</w:t>
            </w:r>
            <w:r>
              <w:rPr>
                <w:noProof/>
                <w:webHidden/>
              </w:rPr>
              <w:fldChar w:fldCharType="end"/>
            </w:r>
          </w:hyperlink>
        </w:p>
        <w:p w14:paraId="002C390A" w14:textId="0CAC168D" w:rsidR="00F03756" w:rsidRDefault="00F03756">
          <w:pPr>
            <w:pStyle w:val="TM2"/>
            <w:tabs>
              <w:tab w:val="left" w:pos="720"/>
              <w:tab w:val="right" w:leader="dot" w:pos="9628"/>
            </w:tabs>
            <w:rPr>
              <w:rFonts w:eastAsiaTheme="minorEastAsia"/>
              <w:noProof/>
              <w:kern w:val="2"/>
              <w:szCs w:val="24"/>
              <w:lang w:eastAsia="fr-FR"/>
              <w14:ligatures w14:val="standardContextual"/>
            </w:rPr>
          </w:pPr>
          <w:hyperlink w:anchor="_Toc213853361" w:history="1">
            <w:r w:rsidRPr="009D3F9F">
              <w:rPr>
                <w:rStyle w:val="Lienhypertexte"/>
                <w:noProof/>
              </w:rPr>
              <w:t>1.</w:t>
            </w:r>
            <w:r>
              <w:rPr>
                <w:rFonts w:eastAsiaTheme="minorEastAsia"/>
                <w:noProof/>
                <w:kern w:val="2"/>
                <w:szCs w:val="24"/>
                <w:lang w:eastAsia="fr-FR"/>
                <w14:ligatures w14:val="standardContextual"/>
              </w:rPr>
              <w:tab/>
            </w:r>
            <w:r w:rsidRPr="009D3F9F">
              <w:rPr>
                <w:rStyle w:val="Lienhypertexte"/>
                <w:noProof/>
              </w:rPr>
              <w:t>Recettes de fonctionnement</w:t>
            </w:r>
            <w:r>
              <w:rPr>
                <w:noProof/>
                <w:webHidden/>
              </w:rPr>
              <w:tab/>
            </w:r>
            <w:r>
              <w:rPr>
                <w:noProof/>
                <w:webHidden/>
              </w:rPr>
              <w:fldChar w:fldCharType="begin"/>
            </w:r>
            <w:r>
              <w:rPr>
                <w:noProof/>
                <w:webHidden/>
              </w:rPr>
              <w:instrText xml:space="preserve"> PAGEREF _Toc213853361 \h </w:instrText>
            </w:r>
            <w:r>
              <w:rPr>
                <w:noProof/>
                <w:webHidden/>
              </w:rPr>
            </w:r>
            <w:r>
              <w:rPr>
                <w:noProof/>
                <w:webHidden/>
              </w:rPr>
              <w:fldChar w:fldCharType="separate"/>
            </w:r>
            <w:r>
              <w:rPr>
                <w:noProof/>
                <w:webHidden/>
              </w:rPr>
              <w:t>9</w:t>
            </w:r>
            <w:r>
              <w:rPr>
                <w:noProof/>
                <w:webHidden/>
              </w:rPr>
              <w:fldChar w:fldCharType="end"/>
            </w:r>
          </w:hyperlink>
        </w:p>
        <w:p w14:paraId="3B94D5C0" w14:textId="63F1D4F4" w:rsidR="00F03756" w:rsidRDefault="00F03756">
          <w:pPr>
            <w:pStyle w:val="TM2"/>
            <w:tabs>
              <w:tab w:val="left" w:pos="720"/>
              <w:tab w:val="right" w:leader="dot" w:pos="9628"/>
            </w:tabs>
            <w:rPr>
              <w:rFonts w:eastAsiaTheme="minorEastAsia"/>
              <w:noProof/>
              <w:kern w:val="2"/>
              <w:szCs w:val="24"/>
              <w:lang w:eastAsia="fr-FR"/>
              <w14:ligatures w14:val="standardContextual"/>
            </w:rPr>
          </w:pPr>
          <w:hyperlink w:anchor="_Toc213853362" w:history="1">
            <w:r w:rsidRPr="009D3F9F">
              <w:rPr>
                <w:rStyle w:val="Lienhypertexte"/>
                <w:noProof/>
              </w:rPr>
              <w:t>2.</w:t>
            </w:r>
            <w:r>
              <w:rPr>
                <w:rFonts w:eastAsiaTheme="minorEastAsia"/>
                <w:noProof/>
                <w:kern w:val="2"/>
                <w:szCs w:val="24"/>
                <w:lang w:eastAsia="fr-FR"/>
                <w14:ligatures w14:val="standardContextual"/>
              </w:rPr>
              <w:tab/>
            </w:r>
            <w:r w:rsidRPr="009D3F9F">
              <w:rPr>
                <w:rStyle w:val="Lienhypertexte"/>
                <w:noProof/>
              </w:rPr>
              <w:t>Dépenses de fonctionnement</w:t>
            </w:r>
            <w:r>
              <w:rPr>
                <w:noProof/>
                <w:webHidden/>
              </w:rPr>
              <w:tab/>
            </w:r>
            <w:r>
              <w:rPr>
                <w:noProof/>
                <w:webHidden/>
              </w:rPr>
              <w:fldChar w:fldCharType="begin"/>
            </w:r>
            <w:r>
              <w:rPr>
                <w:noProof/>
                <w:webHidden/>
              </w:rPr>
              <w:instrText xml:space="preserve"> PAGEREF _Toc213853362 \h </w:instrText>
            </w:r>
            <w:r>
              <w:rPr>
                <w:noProof/>
                <w:webHidden/>
              </w:rPr>
            </w:r>
            <w:r>
              <w:rPr>
                <w:noProof/>
                <w:webHidden/>
              </w:rPr>
              <w:fldChar w:fldCharType="separate"/>
            </w:r>
            <w:r>
              <w:rPr>
                <w:noProof/>
                <w:webHidden/>
              </w:rPr>
              <w:t>10</w:t>
            </w:r>
            <w:r>
              <w:rPr>
                <w:noProof/>
                <w:webHidden/>
              </w:rPr>
              <w:fldChar w:fldCharType="end"/>
            </w:r>
          </w:hyperlink>
        </w:p>
        <w:p w14:paraId="57D90B87" w14:textId="005D546B" w:rsidR="00F03756" w:rsidRDefault="00F03756">
          <w:pPr>
            <w:pStyle w:val="TM3"/>
            <w:tabs>
              <w:tab w:val="left" w:pos="960"/>
              <w:tab w:val="right" w:leader="dot" w:pos="9628"/>
            </w:tabs>
            <w:rPr>
              <w:rFonts w:eastAsiaTheme="minorEastAsia"/>
              <w:noProof/>
              <w:kern w:val="2"/>
              <w:sz w:val="24"/>
              <w:szCs w:val="24"/>
              <w:lang w:eastAsia="fr-FR"/>
              <w14:ligatures w14:val="standardContextual"/>
            </w:rPr>
          </w:pPr>
          <w:hyperlink w:anchor="_Toc213853363" w:history="1">
            <w:r w:rsidRPr="009D3F9F">
              <w:rPr>
                <w:rStyle w:val="Lienhypertexte"/>
                <w:rFonts w:eastAsia="Times New Roman"/>
                <w:noProof/>
                <w:lang w:eastAsia="fr-FR"/>
              </w:rPr>
              <w:t>-</w:t>
            </w:r>
            <w:r>
              <w:rPr>
                <w:rFonts w:eastAsiaTheme="minorEastAsia"/>
                <w:noProof/>
                <w:kern w:val="2"/>
                <w:sz w:val="24"/>
                <w:szCs w:val="24"/>
                <w:lang w:eastAsia="fr-FR"/>
                <w14:ligatures w14:val="standardContextual"/>
              </w:rPr>
              <w:tab/>
            </w:r>
            <w:r w:rsidRPr="009D3F9F">
              <w:rPr>
                <w:rStyle w:val="Lienhypertexte"/>
                <w:noProof/>
                <w:lang w:eastAsia="fr-FR"/>
              </w:rPr>
              <w:t>Dépenses de fonctionnement (hors masse salariale)</w:t>
            </w:r>
            <w:r>
              <w:rPr>
                <w:noProof/>
                <w:webHidden/>
              </w:rPr>
              <w:tab/>
            </w:r>
            <w:r>
              <w:rPr>
                <w:noProof/>
                <w:webHidden/>
              </w:rPr>
              <w:fldChar w:fldCharType="begin"/>
            </w:r>
            <w:r>
              <w:rPr>
                <w:noProof/>
                <w:webHidden/>
              </w:rPr>
              <w:instrText xml:space="preserve"> PAGEREF _Toc213853363 \h </w:instrText>
            </w:r>
            <w:r>
              <w:rPr>
                <w:noProof/>
                <w:webHidden/>
              </w:rPr>
            </w:r>
            <w:r>
              <w:rPr>
                <w:noProof/>
                <w:webHidden/>
              </w:rPr>
              <w:fldChar w:fldCharType="separate"/>
            </w:r>
            <w:r>
              <w:rPr>
                <w:noProof/>
                <w:webHidden/>
              </w:rPr>
              <w:t>10</w:t>
            </w:r>
            <w:r>
              <w:rPr>
                <w:noProof/>
                <w:webHidden/>
              </w:rPr>
              <w:fldChar w:fldCharType="end"/>
            </w:r>
          </w:hyperlink>
        </w:p>
        <w:p w14:paraId="3C9C2E08" w14:textId="16E82F0C" w:rsidR="00F03756" w:rsidRDefault="00F03756">
          <w:pPr>
            <w:pStyle w:val="TM3"/>
            <w:tabs>
              <w:tab w:val="left" w:pos="960"/>
              <w:tab w:val="right" w:leader="dot" w:pos="9628"/>
            </w:tabs>
            <w:rPr>
              <w:rFonts w:eastAsiaTheme="minorEastAsia"/>
              <w:noProof/>
              <w:kern w:val="2"/>
              <w:sz w:val="24"/>
              <w:szCs w:val="24"/>
              <w:lang w:eastAsia="fr-FR"/>
              <w14:ligatures w14:val="standardContextual"/>
            </w:rPr>
          </w:pPr>
          <w:hyperlink w:anchor="_Toc213853364" w:history="1">
            <w:r w:rsidRPr="009D3F9F">
              <w:rPr>
                <w:rStyle w:val="Lienhypertexte"/>
                <w:rFonts w:eastAsia="Times New Roman"/>
                <w:noProof/>
                <w:lang w:eastAsia="fr-FR"/>
              </w:rPr>
              <w:t>-</w:t>
            </w:r>
            <w:r>
              <w:rPr>
                <w:rFonts w:eastAsiaTheme="minorEastAsia"/>
                <w:noProof/>
                <w:kern w:val="2"/>
                <w:sz w:val="24"/>
                <w:szCs w:val="24"/>
                <w:lang w:eastAsia="fr-FR"/>
                <w14:ligatures w14:val="standardContextual"/>
              </w:rPr>
              <w:tab/>
            </w:r>
            <w:r w:rsidRPr="009D3F9F">
              <w:rPr>
                <w:rStyle w:val="Lienhypertexte"/>
                <w:noProof/>
                <w:lang w:eastAsia="fr-FR"/>
              </w:rPr>
              <w:t>Dépenses de personnel</w:t>
            </w:r>
            <w:r>
              <w:rPr>
                <w:noProof/>
                <w:webHidden/>
              </w:rPr>
              <w:tab/>
            </w:r>
            <w:r>
              <w:rPr>
                <w:noProof/>
                <w:webHidden/>
              </w:rPr>
              <w:fldChar w:fldCharType="begin"/>
            </w:r>
            <w:r>
              <w:rPr>
                <w:noProof/>
                <w:webHidden/>
              </w:rPr>
              <w:instrText xml:space="preserve"> PAGEREF _Toc213853364 \h </w:instrText>
            </w:r>
            <w:r>
              <w:rPr>
                <w:noProof/>
                <w:webHidden/>
              </w:rPr>
            </w:r>
            <w:r>
              <w:rPr>
                <w:noProof/>
                <w:webHidden/>
              </w:rPr>
              <w:fldChar w:fldCharType="separate"/>
            </w:r>
            <w:r>
              <w:rPr>
                <w:noProof/>
                <w:webHidden/>
              </w:rPr>
              <w:t>10</w:t>
            </w:r>
            <w:r>
              <w:rPr>
                <w:noProof/>
                <w:webHidden/>
              </w:rPr>
              <w:fldChar w:fldCharType="end"/>
            </w:r>
          </w:hyperlink>
        </w:p>
        <w:p w14:paraId="4E9EC9A3" w14:textId="11EAABAD" w:rsidR="00F03756" w:rsidRDefault="00F03756">
          <w:pPr>
            <w:pStyle w:val="TM1"/>
            <w:tabs>
              <w:tab w:val="left" w:pos="720"/>
              <w:tab w:val="right" w:leader="dot" w:pos="9628"/>
            </w:tabs>
            <w:rPr>
              <w:rFonts w:eastAsiaTheme="minorEastAsia"/>
              <w:b w:val="0"/>
              <w:noProof/>
              <w:kern w:val="2"/>
              <w:szCs w:val="24"/>
              <w:lang w:eastAsia="fr-FR"/>
              <w14:ligatures w14:val="standardContextual"/>
            </w:rPr>
          </w:pPr>
          <w:hyperlink w:anchor="_Toc213853365" w:history="1">
            <w:r w:rsidRPr="009D3F9F">
              <w:rPr>
                <w:rStyle w:val="Lienhypertexte"/>
                <w:noProof/>
              </w:rPr>
              <w:t>V.</w:t>
            </w:r>
            <w:r>
              <w:rPr>
                <w:rFonts w:eastAsiaTheme="minorEastAsia"/>
                <w:b w:val="0"/>
                <w:noProof/>
                <w:kern w:val="2"/>
                <w:szCs w:val="24"/>
                <w:lang w:eastAsia="fr-FR"/>
                <w14:ligatures w14:val="standardContextual"/>
              </w:rPr>
              <w:tab/>
            </w:r>
            <w:r w:rsidRPr="009D3F9F">
              <w:rPr>
                <w:rStyle w:val="Lienhypertexte"/>
                <w:noProof/>
              </w:rPr>
              <w:t>CONSTRUCTION DU BUDGET PRIMITIF 2026 DE LA RESIDENCE AUTONOMIE DUPUY</w:t>
            </w:r>
            <w:r>
              <w:rPr>
                <w:noProof/>
                <w:webHidden/>
              </w:rPr>
              <w:tab/>
            </w:r>
            <w:r>
              <w:rPr>
                <w:noProof/>
                <w:webHidden/>
              </w:rPr>
              <w:fldChar w:fldCharType="begin"/>
            </w:r>
            <w:r>
              <w:rPr>
                <w:noProof/>
                <w:webHidden/>
              </w:rPr>
              <w:instrText xml:space="preserve"> PAGEREF _Toc213853365 \h </w:instrText>
            </w:r>
            <w:r>
              <w:rPr>
                <w:noProof/>
                <w:webHidden/>
              </w:rPr>
            </w:r>
            <w:r>
              <w:rPr>
                <w:noProof/>
                <w:webHidden/>
              </w:rPr>
              <w:fldChar w:fldCharType="separate"/>
            </w:r>
            <w:r>
              <w:rPr>
                <w:noProof/>
                <w:webHidden/>
              </w:rPr>
              <w:t>10</w:t>
            </w:r>
            <w:r>
              <w:rPr>
                <w:noProof/>
                <w:webHidden/>
              </w:rPr>
              <w:fldChar w:fldCharType="end"/>
            </w:r>
          </w:hyperlink>
        </w:p>
        <w:p w14:paraId="3CAA5F29" w14:textId="1DA51F31" w:rsidR="00F03756" w:rsidRDefault="00F03756">
          <w:pPr>
            <w:pStyle w:val="TM3"/>
            <w:tabs>
              <w:tab w:val="left" w:pos="960"/>
              <w:tab w:val="right" w:leader="dot" w:pos="9628"/>
            </w:tabs>
            <w:rPr>
              <w:rFonts w:eastAsiaTheme="minorEastAsia"/>
              <w:noProof/>
              <w:kern w:val="2"/>
              <w:sz w:val="24"/>
              <w:szCs w:val="24"/>
              <w:lang w:eastAsia="fr-FR"/>
              <w14:ligatures w14:val="standardContextual"/>
            </w:rPr>
          </w:pPr>
          <w:hyperlink w:anchor="_Toc213853366" w:history="1">
            <w:r w:rsidRPr="009D3F9F">
              <w:rPr>
                <w:rStyle w:val="Lienhypertexte"/>
                <w:rFonts w:eastAsia="Times New Roman"/>
                <w:noProof/>
              </w:rPr>
              <w:t>-</w:t>
            </w:r>
            <w:r>
              <w:rPr>
                <w:rFonts w:eastAsiaTheme="minorEastAsia"/>
                <w:noProof/>
                <w:kern w:val="2"/>
                <w:sz w:val="24"/>
                <w:szCs w:val="24"/>
                <w:lang w:eastAsia="fr-FR"/>
                <w14:ligatures w14:val="standardContextual"/>
              </w:rPr>
              <w:tab/>
            </w:r>
            <w:r w:rsidRPr="009D3F9F">
              <w:rPr>
                <w:rStyle w:val="Lienhypertexte"/>
                <w:noProof/>
              </w:rPr>
              <w:t>Recettes de fonctionnement</w:t>
            </w:r>
            <w:r>
              <w:rPr>
                <w:noProof/>
                <w:webHidden/>
              </w:rPr>
              <w:tab/>
            </w:r>
            <w:r>
              <w:rPr>
                <w:noProof/>
                <w:webHidden/>
              </w:rPr>
              <w:fldChar w:fldCharType="begin"/>
            </w:r>
            <w:r>
              <w:rPr>
                <w:noProof/>
                <w:webHidden/>
              </w:rPr>
              <w:instrText xml:space="preserve"> PAGEREF _Toc213853366 \h </w:instrText>
            </w:r>
            <w:r>
              <w:rPr>
                <w:noProof/>
                <w:webHidden/>
              </w:rPr>
            </w:r>
            <w:r>
              <w:rPr>
                <w:noProof/>
                <w:webHidden/>
              </w:rPr>
              <w:fldChar w:fldCharType="separate"/>
            </w:r>
            <w:r>
              <w:rPr>
                <w:noProof/>
                <w:webHidden/>
              </w:rPr>
              <w:t>10</w:t>
            </w:r>
            <w:r>
              <w:rPr>
                <w:noProof/>
                <w:webHidden/>
              </w:rPr>
              <w:fldChar w:fldCharType="end"/>
            </w:r>
          </w:hyperlink>
        </w:p>
        <w:p w14:paraId="6F1185C7" w14:textId="3EBCDB19" w:rsidR="00F03756" w:rsidRDefault="00F03756">
          <w:pPr>
            <w:pStyle w:val="TM3"/>
            <w:tabs>
              <w:tab w:val="left" w:pos="960"/>
              <w:tab w:val="right" w:leader="dot" w:pos="9628"/>
            </w:tabs>
            <w:rPr>
              <w:rFonts w:eastAsiaTheme="minorEastAsia"/>
              <w:noProof/>
              <w:kern w:val="2"/>
              <w:sz w:val="24"/>
              <w:szCs w:val="24"/>
              <w:lang w:eastAsia="fr-FR"/>
              <w14:ligatures w14:val="standardContextual"/>
            </w:rPr>
          </w:pPr>
          <w:hyperlink w:anchor="_Toc213853367" w:history="1">
            <w:r w:rsidRPr="009D3F9F">
              <w:rPr>
                <w:rStyle w:val="Lienhypertexte"/>
                <w:rFonts w:eastAsia="Times New Roman"/>
                <w:noProof/>
                <w:lang w:eastAsia="fr-FR"/>
              </w:rPr>
              <w:t>-</w:t>
            </w:r>
            <w:r>
              <w:rPr>
                <w:rFonts w:eastAsiaTheme="minorEastAsia"/>
                <w:noProof/>
                <w:kern w:val="2"/>
                <w:sz w:val="24"/>
                <w:szCs w:val="24"/>
                <w:lang w:eastAsia="fr-FR"/>
                <w14:ligatures w14:val="standardContextual"/>
              </w:rPr>
              <w:tab/>
            </w:r>
            <w:r w:rsidRPr="009D3F9F">
              <w:rPr>
                <w:rStyle w:val="Lienhypertexte"/>
                <w:noProof/>
                <w:lang w:eastAsia="fr-FR"/>
              </w:rPr>
              <w:t>Focus sur les dépenses de personnel</w:t>
            </w:r>
            <w:r>
              <w:rPr>
                <w:noProof/>
                <w:webHidden/>
              </w:rPr>
              <w:tab/>
            </w:r>
            <w:r>
              <w:rPr>
                <w:noProof/>
                <w:webHidden/>
              </w:rPr>
              <w:fldChar w:fldCharType="begin"/>
            </w:r>
            <w:r>
              <w:rPr>
                <w:noProof/>
                <w:webHidden/>
              </w:rPr>
              <w:instrText xml:space="preserve"> PAGEREF _Toc213853367 \h </w:instrText>
            </w:r>
            <w:r>
              <w:rPr>
                <w:noProof/>
                <w:webHidden/>
              </w:rPr>
            </w:r>
            <w:r>
              <w:rPr>
                <w:noProof/>
                <w:webHidden/>
              </w:rPr>
              <w:fldChar w:fldCharType="separate"/>
            </w:r>
            <w:r>
              <w:rPr>
                <w:noProof/>
                <w:webHidden/>
              </w:rPr>
              <w:t>10</w:t>
            </w:r>
            <w:r>
              <w:rPr>
                <w:noProof/>
                <w:webHidden/>
              </w:rPr>
              <w:fldChar w:fldCharType="end"/>
            </w:r>
          </w:hyperlink>
        </w:p>
        <w:p w14:paraId="0E4613FD" w14:textId="7AAA66D1" w:rsidR="00F03756" w:rsidRDefault="00F03756">
          <w:pPr>
            <w:pStyle w:val="TM3"/>
            <w:tabs>
              <w:tab w:val="left" w:pos="960"/>
              <w:tab w:val="right" w:leader="dot" w:pos="9628"/>
            </w:tabs>
            <w:rPr>
              <w:rFonts w:eastAsiaTheme="minorEastAsia"/>
              <w:noProof/>
              <w:kern w:val="2"/>
              <w:sz w:val="24"/>
              <w:szCs w:val="24"/>
              <w:lang w:eastAsia="fr-FR"/>
              <w14:ligatures w14:val="standardContextual"/>
            </w:rPr>
          </w:pPr>
          <w:hyperlink w:anchor="_Toc213853368" w:history="1">
            <w:r w:rsidRPr="009D3F9F">
              <w:rPr>
                <w:rStyle w:val="Lienhypertexte"/>
                <w:rFonts w:eastAsia="Times New Roman"/>
                <w:noProof/>
              </w:rPr>
              <w:t>-</w:t>
            </w:r>
            <w:r>
              <w:rPr>
                <w:rFonts w:eastAsiaTheme="minorEastAsia"/>
                <w:noProof/>
                <w:kern w:val="2"/>
                <w:sz w:val="24"/>
                <w:szCs w:val="24"/>
                <w:lang w:eastAsia="fr-FR"/>
                <w14:ligatures w14:val="standardContextual"/>
              </w:rPr>
              <w:tab/>
            </w:r>
            <w:r w:rsidRPr="009D3F9F">
              <w:rPr>
                <w:rStyle w:val="Lienhypertexte"/>
                <w:noProof/>
              </w:rPr>
              <w:t>Projets d’investissements 2026</w:t>
            </w:r>
            <w:r>
              <w:rPr>
                <w:noProof/>
                <w:webHidden/>
              </w:rPr>
              <w:tab/>
            </w:r>
            <w:r>
              <w:rPr>
                <w:noProof/>
                <w:webHidden/>
              </w:rPr>
              <w:fldChar w:fldCharType="begin"/>
            </w:r>
            <w:r>
              <w:rPr>
                <w:noProof/>
                <w:webHidden/>
              </w:rPr>
              <w:instrText xml:space="preserve"> PAGEREF _Toc213853368 \h </w:instrText>
            </w:r>
            <w:r>
              <w:rPr>
                <w:noProof/>
                <w:webHidden/>
              </w:rPr>
            </w:r>
            <w:r>
              <w:rPr>
                <w:noProof/>
                <w:webHidden/>
              </w:rPr>
              <w:fldChar w:fldCharType="separate"/>
            </w:r>
            <w:r>
              <w:rPr>
                <w:noProof/>
                <w:webHidden/>
              </w:rPr>
              <w:t>11</w:t>
            </w:r>
            <w:r>
              <w:rPr>
                <w:noProof/>
                <w:webHidden/>
              </w:rPr>
              <w:fldChar w:fldCharType="end"/>
            </w:r>
          </w:hyperlink>
        </w:p>
        <w:p w14:paraId="68BA1FD5" w14:textId="31798B95" w:rsidR="002C0647" w:rsidRDefault="00A20B22">
          <w:r>
            <w:rPr>
              <w:sz w:val="24"/>
            </w:rPr>
            <w:fldChar w:fldCharType="end"/>
          </w:r>
        </w:p>
      </w:sdtContent>
    </w:sdt>
    <w:p w14:paraId="73303502" w14:textId="77777777" w:rsidR="002C0647" w:rsidRPr="002C0647" w:rsidRDefault="002C0647" w:rsidP="002C0647">
      <w:pPr>
        <w:rPr>
          <w:rFonts w:ascii="Calibri Light" w:hAnsi="Calibri Light" w:cs="Calibri Light"/>
          <w:b/>
          <w:bCs/>
          <w:color w:val="31849B" w:themeColor="accent5" w:themeShade="BF"/>
          <w:sz w:val="44"/>
          <w:szCs w:val="44"/>
        </w:rPr>
      </w:pPr>
    </w:p>
    <w:p w14:paraId="6027EEFC" w14:textId="77082704" w:rsidR="00C733C1" w:rsidRDefault="00C733C1" w:rsidP="00C733C1">
      <w:pPr>
        <w:tabs>
          <w:tab w:val="right" w:pos="9923"/>
        </w:tabs>
        <w:spacing w:after="120" w:line="240" w:lineRule="auto"/>
        <w:ind w:firstLine="284"/>
        <w:jc w:val="both"/>
        <w:rPr>
          <w:rFonts w:ascii="Calibri Light" w:hAnsi="Calibri Light" w:cs="Calibri Light"/>
        </w:rPr>
      </w:pPr>
    </w:p>
    <w:p w14:paraId="0ECDACC2" w14:textId="03693BF6" w:rsidR="00C733C1" w:rsidRDefault="00C733C1">
      <w:pPr>
        <w:rPr>
          <w:rFonts w:ascii="Calibri Light" w:hAnsi="Calibri Light" w:cs="Calibri Light"/>
        </w:rPr>
      </w:pPr>
      <w:r>
        <w:rPr>
          <w:rFonts w:ascii="Calibri Light" w:hAnsi="Calibri Light" w:cs="Calibri Light"/>
        </w:rPr>
        <w:br w:type="page"/>
      </w:r>
    </w:p>
    <w:p w14:paraId="772E09A8" w14:textId="70874A90" w:rsidR="00C733C1" w:rsidRPr="00053756" w:rsidRDefault="00893D1D" w:rsidP="00053756">
      <w:pPr>
        <w:pStyle w:val="Titre1"/>
      </w:pPr>
      <w:bookmarkStart w:id="1" w:name="_Toc213853347"/>
      <w:r w:rsidRPr="00053756">
        <w:lastRenderedPageBreak/>
        <w:t>LE CONTEXTE MACRO-ECONOMIQUE</w:t>
      </w:r>
      <w:bookmarkEnd w:id="1"/>
    </w:p>
    <w:p w14:paraId="628133D1" w14:textId="77777777" w:rsidR="00A20B22" w:rsidRDefault="00A20B22" w:rsidP="00A20B22">
      <w:pPr>
        <w:pStyle w:val="Paragraphedeliste"/>
        <w:spacing w:after="120" w:line="240" w:lineRule="auto"/>
        <w:ind w:left="1069"/>
        <w:jc w:val="both"/>
        <w:rPr>
          <w:rFonts w:ascii="Aptos" w:hAnsi="Aptos" w:cs="Calibri Light"/>
          <w:b/>
          <w:bCs/>
          <w:sz w:val="28"/>
          <w:szCs w:val="28"/>
        </w:rPr>
      </w:pPr>
    </w:p>
    <w:p w14:paraId="36AF830B" w14:textId="4F46649F" w:rsidR="00BB0DA7" w:rsidRPr="00BB0DA7" w:rsidRDefault="00A20B22" w:rsidP="00BB0DA7">
      <w:pPr>
        <w:pStyle w:val="Paragraphedeliste"/>
        <w:numPr>
          <w:ilvl w:val="0"/>
          <w:numId w:val="2"/>
        </w:numPr>
        <w:spacing w:after="120" w:line="240" w:lineRule="auto"/>
        <w:jc w:val="both"/>
        <w:rPr>
          <w:rFonts w:ascii="Aptos" w:hAnsi="Aptos" w:cs="Calibri Light"/>
          <w:b/>
          <w:bCs/>
          <w:sz w:val="28"/>
          <w:szCs w:val="28"/>
        </w:rPr>
      </w:pPr>
      <w:r w:rsidRPr="00825990">
        <w:rPr>
          <w:rFonts w:ascii="Aptos" w:hAnsi="Aptos" w:cs="Calibri Light"/>
          <w:b/>
          <w:bCs/>
          <w:sz w:val="28"/>
          <w:szCs w:val="28"/>
        </w:rPr>
        <w:t>Situation internationale, européenne et nationale</w:t>
      </w:r>
    </w:p>
    <w:p w14:paraId="02FEAAD2" w14:textId="72CB0EA6" w:rsidR="00A20B22" w:rsidRPr="00825990" w:rsidRDefault="00A20B22" w:rsidP="00BB0DA7">
      <w:pPr>
        <w:spacing w:before="100" w:beforeAutospacing="1" w:after="100" w:afterAutospacing="1" w:line="240" w:lineRule="auto"/>
        <w:jc w:val="both"/>
        <w:rPr>
          <w:rFonts w:ascii="Aptos" w:eastAsia="Times New Roman" w:hAnsi="Aptos" w:cs="Times New Roman"/>
          <w:lang w:eastAsia="fr-FR"/>
        </w:rPr>
      </w:pPr>
      <w:r w:rsidRPr="00825990">
        <w:rPr>
          <w:rFonts w:ascii="Aptos" w:eastAsia="Times New Roman" w:hAnsi="Aptos" w:cs="Times New Roman"/>
          <w:lang w:eastAsia="fr-FR"/>
        </w:rPr>
        <w:t>Les données suivantes sont issues des projections macro-économiques diffusées par la Banque de France afin d’apporter une contribution aux débats économiques nationaux et européens,</w:t>
      </w:r>
      <w:r w:rsidR="00BB0DA7">
        <w:rPr>
          <w:rFonts w:ascii="Aptos" w:eastAsia="Times New Roman" w:hAnsi="Aptos" w:cs="Times New Roman"/>
          <w:lang w:eastAsia="fr-FR"/>
        </w:rPr>
        <w:t xml:space="preserve"> </w:t>
      </w:r>
      <w:r w:rsidRPr="00825990">
        <w:rPr>
          <w:rFonts w:ascii="Aptos" w:eastAsia="Times New Roman" w:hAnsi="Aptos" w:cs="Times New Roman"/>
          <w:lang w:eastAsia="fr-FR"/>
        </w:rPr>
        <w:t>la dernière analyse en date de septembre 2025</w:t>
      </w:r>
      <w:r w:rsidR="00BB0DA7">
        <w:rPr>
          <w:rFonts w:ascii="Aptos" w:eastAsia="Times New Roman" w:hAnsi="Aptos" w:cs="Times New Roman"/>
          <w:lang w:eastAsia="fr-FR"/>
        </w:rPr>
        <w:t xml:space="preserve"> a été utilisée</w:t>
      </w:r>
      <w:r w:rsidRPr="00825990">
        <w:rPr>
          <w:rFonts w:ascii="Aptos" w:eastAsia="Times New Roman" w:hAnsi="Aptos" w:cs="Times New Roman"/>
          <w:lang w:eastAsia="fr-FR"/>
        </w:rPr>
        <w:t>.</w:t>
      </w:r>
    </w:p>
    <w:p w14:paraId="7EEBFAA6" w14:textId="229F29A9" w:rsidR="00A20B22" w:rsidRPr="00825990" w:rsidRDefault="00A20B22" w:rsidP="00A20B22">
      <w:pPr>
        <w:spacing w:before="100" w:beforeAutospacing="1" w:after="100" w:afterAutospacing="1" w:line="240" w:lineRule="auto"/>
        <w:rPr>
          <w:rFonts w:ascii="Aptos" w:eastAsia="Times New Roman" w:hAnsi="Aptos" w:cs="Times New Roman"/>
          <w:lang w:eastAsia="fr-FR"/>
        </w:rPr>
      </w:pPr>
      <w:r w:rsidRPr="00825990">
        <w:rPr>
          <w:rFonts w:ascii="Aptos" w:eastAsia="Times New Roman" w:hAnsi="Aptos" w:cs="Times New Roman"/>
          <w:lang w:eastAsia="fr-FR"/>
        </w:rPr>
        <w:t xml:space="preserve">Ces projections intermédiaires intègrent l’accord commercial passé entre les États-Unis et l’Union européenne le 27 juillet </w:t>
      </w:r>
      <w:r w:rsidR="00BB0DA7">
        <w:rPr>
          <w:rFonts w:ascii="Aptos" w:eastAsia="Times New Roman" w:hAnsi="Aptos" w:cs="Times New Roman"/>
          <w:lang w:eastAsia="fr-FR"/>
        </w:rPr>
        <w:t>2025</w:t>
      </w:r>
      <w:r w:rsidRPr="00825990">
        <w:rPr>
          <w:rFonts w:ascii="Aptos" w:eastAsia="Times New Roman" w:hAnsi="Aptos" w:cs="Times New Roman"/>
          <w:lang w:eastAsia="fr-FR"/>
        </w:rPr>
        <w:t>. Le droit de douane moyen sur les exportations françaises à destination des États-Unis resterait proche de l’hypothèse retenue dans la projection précédente de la Banque de France (12 %, contre 2 % avant les hausses) : dans le cas de la France, les exemptions dont bénéficient certains secteurs (en particulier l’aéronautique) compensent les hausses additionnelles pour les autres biens.</w:t>
      </w:r>
    </w:p>
    <w:p w14:paraId="553A93A6" w14:textId="433F2650" w:rsidR="00BB0DA7" w:rsidRPr="00825990" w:rsidRDefault="00A20B22" w:rsidP="00A20B22">
      <w:pPr>
        <w:spacing w:before="100" w:beforeAutospacing="1" w:after="100" w:afterAutospacing="1" w:line="240" w:lineRule="auto"/>
        <w:rPr>
          <w:rFonts w:ascii="Aptos" w:eastAsia="Times New Roman" w:hAnsi="Aptos" w:cs="Times New Roman"/>
          <w:lang w:eastAsia="fr-FR"/>
        </w:rPr>
      </w:pPr>
      <w:r w:rsidRPr="00825990">
        <w:rPr>
          <w:rFonts w:ascii="Aptos" w:eastAsia="Times New Roman" w:hAnsi="Aptos" w:cs="Times New Roman"/>
          <w:lang w:eastAsia="fr-FR"/>
        </w:rPr>
        <w:t>Dans un contexte national incertain à la suite du rejet du vote de confiance, de la nomination puis démission puis re-nomination d’un premier ministre les projections retiennent la convention d’une politique budgétaire inchangée par rapport aux précédentes hypothèses de la Banque de France qui permettaient d’atteindre un déficit de 5,4 % du PIB en 2025 et un ajustement structurel primaire de 0,6 % du PIB en 2026 et de 0,4 % en 2027. Une moindre consolidation budgétaire n’entraînerait cependant pas pour autant un surcroît de croissance, car l’incertitude fiscale prolongée se traduirait par des comportements plus attentistes des ménages et des entreprises.</w:t>
      </w:r>
    </w:p>
    <w:p w14:paraId="7C272C08" w14:textId="77777777" w:rsidR="00A20B22" w:rsidRPr="00A20B22" w:rsidRDefault="00A20B22" w:rsidP="00A20B22">
      <w:pPr>
        <w:spacing w:before="100" w:beforeAutospacing="1" w:after="100" w:afterAutospacing="1" w:line="240" w:lineRule="auto"/>
        <w:rPr>
          <w:rFonts w:ascii="Aptos" w:eastAsia="Times New Roman" w:hAnsi="Aptos" w:cs="Times New Roman"/>
          <w:b/>
          <w:bCs/>
          <w:lang w:eastAsia="fr-FR"/>
        </w:rPr>
      </w:pPr>
      <w:r w:rsidRPr="00A20B22">
        <w:rPr>
          <w:rFonts w:ascii="Aptos" w:eastAsia="Times New Roman" w:hAnsi="Aptos" w:cs="Times New Roman"/>
          <w:b/>
          <w:bCs/>
          <w:lang w:eastAsia="fr-FR"/>
        </w:rPr>
        <w:t>Une croissance positive mais modérée en 2025 avant un raffermissement en 2026-2027</w:t>
      </w:r>
    </w:p>
    <w:p w14:paraId="05D13B7A" w14:textId="6CE036CE" w:rsidR="00A20B22" w:rsidRPr="00825990" w:rsidRDefault="00A20B22" w:rsidP="00A20B22">
      <w:pPr>
        <w:spacing w:before="100" w:beforeAutospacing="1" w:after="100" w:afterAutospacing="1" w:line="240" w:lineRule="auto"/>
        <w:rPr>
          <w:rFonts w:ascii="Aptos" w:eastAsia="Times New Roman" w:hAnsi="Aptos" w:cs="Times New Roman"/>
          <w:lang w:eastAsia="fr-FR"/>
        </w:rPr>
      </w:pPr>
      <w:r w:rsidRPr="00825990">
        <w:rPr>
          <w:rFonts w:ascii="Aptos" w:eastAsia="Times New Roman" w:hAnsi="Aptos" w:cs="Times New Roman"/>
          <w:lang w:eastAsia="fr-FR"/>
        </w:rPr>
        <w:t xml:space="preserve">Sur l’ensemble de l’année 2025, la croissance s’établirait à 0,7 %. Elle augmenterait ensuite modérément pour atteindre 0,9 % en 2026 et 1,1 % en 2027, tirée par un raffermissement de la consommation des ménages et une reprise de l’investissement privé, tandis que la contribution du commerce extérieur serait quasi nulle sur ces deux années. </w:t>
      </w:r>
    </w:p>
    <w:p w14:paraId="46E36181" w14:textId="523B0B08" w:rsidR="00A20B22" w:rsidRPr="00A20B22" w:rsidRDefault="00A20B22" w:rsidP="00A20B22">
      <w:pPr>
        <w:spacing w:before="100" w:beforeAutospacing="1" w:after="100" w:afterAutospacing="1" w:line="240" w:lineRule="auto"/>
        <w:rPr>
          <w:rFonts w:ascii="Aptos" w:eastAsia="Times New Roman" w:hAnsi="Aptos" w:cs="Times New Roman"/>
          <w:b/>
          <w:bCs/>
          <w:lang w:eastAsia="fr-FR"/>
        </w:rPr>
      </w:pPr>
      <w:r w:rsidRPr="00A20B22">
        <w:rPr>
          <w:rFonts w:ascii="Aptos" w:eastAsia="Times New Roman" w:hAnsi="Aptos" w:cs="Times New Roman"/>
          <w:b/>
          <w:bCs/>
          <w:lang w:eastAsia="fr-FR"/>
        </w:rPr>
        <w:t xml:space="preserve">Un net repli de l’inflation en 2025, suivi d’une remontée progressive vers </w:t>
      </w:r>
      <w:r w:rsidR="00BB0DA7">
        <w:rPr>
          <w:rFonts w:ascii="Aptos" w:eastAsia="Times New Roman" w:hAnsi="Aptos" w:cs="Times New Roman"/>
          <w:b/>
          <w:bCs/>
          <w:lang w:eastAsia="fr-FR"/>
        </w:rPr>
        <w:t xml:space="preserve">les </w:t>
      </w:r>
      <w:r w:rsidRPr="00A20B22">
        <w:rPr>
          <w:rFonts w:ascii="Aptos" w:eastAsia="Times New Roman" w:hAnsi="Aptos" w:cs="Times New Roman"/>
          <w:b/>
          <w:bCs/>
          <w:lang w:eastAsia="fr-FR"/>
        </w:rPr>
        <w:t>2 % en 2026 et 2027</w:t>
      </w:r>
    </w:p>
    <w:p w14:paraId="613AD871" w14:textId="653DBACA" w:rsidR="00A20B22" w:rsidRPr="00825990" w:rsidRDefault="00A20B22" w:rsidP="00A20B22">
      <w:pPr>
        <w:spacing w:before="100" w:beforeAutospacing="1" w:after="100" w:afterAutospacing="1" w:line="240" w:lineRule="auto"/>
        <w:rPr>
          <w:rFonts w:ascii="Aptos" w:eastAsia="Times New Roman" w:hAnsi="Aptos" w:cs="Times New Roman"/>
          <w:lang w:eastAsia="fr-FR"/>
        </w:rPr>
      </w:pPr>
      <w:r w:rsidRPr="00825990">
        <w:rPr>
          <w:rFonts w:ascii="Aptos" w:eastAsia="Times New Roman" w:hAnsi="Aptos" w:cs="Times New Roman"/>
          <w:lang w:eastAsia="fr-FR"/>
        </w:rPr>
        <w:t xml:space="preserve">Après 2,3 % en moyenne annuelle en 2024, </w:t>
      </w:r>
      <w:r w:rsidRPr="00A20B22">
        <w:rPr>
          <w:rFonts w:ascii="Aptos" w:eastAsia="Times New Roman" w:hAnsi="Aptos" w:cs="Times New Roman"/>
          <w:lang w:eastAsia="fr-FR"/>
        </w:rPr>
        <w:t>l’inflation totale se maintiendrait au-dessous de 2 %</w:t>
      </w:r>
      <w:r w:rsidRPr="00825990">
        <w:rPr>
          <w:rFonts w:ascii="Aptos" w:eastAsia="Times New Roman" w:hAnsi="Aptos" w:cs="Times New Roman"/>
          <w:lang w:eastAsia="fr-FR"/>
        </w:rPr>
        <w:t xml:space="preserve"> sur tout l’horizon de projection et resterait une des plus faibles de la zone euro. Elle baisserait fortement à 1,0 % en 2025, en raison du recul des prix énergétiques et de la modération des prix des services, puis atteindrait respectivement 1,3 % et 1,8 % en 2026 et en 2027. L’inflation hors énergie et alimentation poursuivrait sa décrue pour atteindre 1,7 % en 2025 (après 2,3 % en 2024), puis 1,6 % en 2026 et en 2027. La progression des salaires étant supérieure à celle des prix, la hausse du pouvoir d’achat de la masse salariale d’environ 1 % par an soutiendrait progressivement la reprise de la consommation des ménages.</w:t>
      </w:r>
      <w:r w:rsidR="00BB0DA7">
        <w:rPr>
          <w:rFonts w:ascii="Aptos" w:eastAsia="Times New Roman" w:hAnsi="Aptos" w:cs="Times New Roman"/>
          <w:lang w:eastAsia="fr-FR"/>
        </w:rPr>
        <w:t xml:space="preserve"> </w:t>
      </w:r>
      <w:r w:rsidRPr="00825990">
        <w:rPr>
          <w:rFonts w:ascii="Aptos" w:eastAsia="Times New Roman" w:hAnsi="Aptos" w:cs="Times New Roman"/>
          <w:lang w:eastAsia="fr-FR"/>
        </w:rPr>
        <w:t>Le taux de chômage resterait proche de son niveau actuel de 7,5 %.</w:t>
      </w:r>
    </w:p>
    <w:p w14:paraId="298E417E" w14:textId="77777777" w:rsidR="00A20B22" w:rsidRPr="00825990" w:rsidRDefault="00A20B22" w:rsidP="00A20B22">
      <w:pPr>
        <w:spacing w:after="120" w:line="240" w:lineRule="auto"/>
        <w:jc w:val="both"/>
        <w:rPr>
          <w:rFonts w:ascii="Aptos" w:hAnsi="Aptos" w:cs="Calibri Light"/>
        </w:rPr>
      </w:pPr>
    </w:p>
    <w:p w14:paraId="4CBD2304" w14:textId="1B79C871" w:rsidR="00A20B22" w:rsidRPr="00BB0DA7" w:rsidRDefault="00A20B22" w:rsidP="00BB0DA7">
      <w:pPr>
        <w:pStyle w:val="Paragraphedeliste"/>
        <w:numPr>
          <w:ilvl w:val="0"/>
          <w:numId w:val="2"/>
        </w:numPr>
        <w:spacing w:after="120" w:line="240" w:lineRule="auto"/>
        <w:jc w:val="both"/>
        <w:rPr>
          <w:rFonts w:ascii="Aptos" w:hAnsi="Aptos" w:cs="Calibri Light"/>
          <w:b/>
          <w:bCs/>
          <w:sz w:val="28"/>
          <w:szCs w:val="28"/>
        </w:rPr>
      </w:pPr>
      <w:r w:rsidRPr="00825990">
        <w:rPr>
          <w:rFonts w:ascii="Aptos" w:hAnsi="Aptos" w:cs="Calibri Light"/>
          <w:b/>
          <w:bCs/>
          <w:sz w:val="28"/>
          <w:szCs w:val="28"/>
        </w:rPr>
        <w:t>La loi de Finances 2026</w:t>
      </w:r>
    </w:p>
    <w:p w14:paraId="0FDF8F56" w14:textId="094D79E2" w:rsidR="00A20B22" w:rsidRPr="00825990" w:rsidRDefault="00BB0DA7" w:rsidP="00A20B22">
      <w:pPr>
        <w:spacing w:after="120" w:line="240" w:lineRule="auto"/>
        <w:jc w:val="both"/>
        <w:rPr>
          <w:rFonts w:ascii="Aptos" w:eastAsia="Times New Roman" w:hAnsi="Aptos" w:cs="Times New Roman"/>
          <w:lang w:eastAsia="fr-FR"/>
        </w:rPr>
      </w:pPr>
      <w:r>
        <w:rPr>
          <w:rFonts w:ascii="Aptos" w:eastAsia="Times New Roman" w:hAnsi="Aptos" w:cs="Times New Roman"/>
          <w:lang w:eastAsia="fr-FR"/>
        </w:rPr>
        <w:t>Comme en</w:t>
      </w:r>
      <w:r w:rsidR="00A20B22" w:rsidRPr="00825990">
        <w:rPr>
          <w:rFonts w:ascii="Aptos" w:eastAsia="Times New Roman" w:hAnsi="Aptos" w:cs="Times New Roman"/>
          <w:lang w:eastAsia="fr-FR"/>
        </w:rPr>
        <w:t xml:space="preserve"> 2025, </w:t>
      </w:r>
      <w:r>
        <w:rPr>
          <w:rFonts w:ascii="Aptos" w:eastAsia="Times New Roman" w:hAnsi="Aptos" w:cs="Times New Roman"/>
          <w:lang w:eastAsia="fr-FR"/>
        </w:rPr>
        <w:t>le</w:t>
      </w:r>
      <w:r w:rsidR="00A20B22" w:rsidRPr="00825990">
        <w:rPr>
          <w:rFonts w:ascii="Aptos" w:eastAsia="Times New Roman" w:hAnsi="Aptos" w:cs="Times New Roman"/>
          <w:lang w:eastAsia="fr-FR"/>
        </w:rPr>
        <w:t xml:space="preserve"> contexte d’incertitude politique nationale</w:t>
      </w:r>
      <w:r>
        <w:rPr>
          <w:rFonts w:ascii="Aptos" w:eastAsia="Times New Roman" w:hAnsi="Aptos" w:cs="Times New Roman"/>
          <w:lang w:eastAsia="fr-FR"/>
        </w:rPr>
        <w:t xml:space="preserve"> et</w:t>
      </w:r>
      <w:r w:rsidR="00A20B22" w:rsidRPr="00825990">
        <w:rPr>
          <w:rFonts w:ascii="Aptos" w:eastAsia="Times New Roman" w:hAnsi="Aptos" w:cs="Times New Roman"/>
          <w:lang w:eastAsia="fr-FR"/>
        </w:rPr>
        <w:t xml:space="preserve"> les changements ministériels ont particulièrement affecté la prise de décision pour le projet de loi de Finances 2026 (PLF).</w:t>
      </w:r>
      <w:r>
        <w:rPr>
          <w:rFonts w:ascii="Aptos" w:eastAsia="Times New Roman" w:hAnsi="Aptos" w:cs="Times New Roman"/>
          <w:lang w:eastAsia="fr-FR"/>
        </w:rPr>
        <w:t xml:space="preserve"> </w:t>
      </w:r>
      <w:r w:rsidR="00A20B22" w:rsidRPr="00825990">
        <w:rPr>
          <w:rFonts w:ascii="Aptos" w:eastAsia="Times New Roman" w:hAnsi="Aptos" w:cs="Times New Roman"/>
          <w:lang w:eastAsia="fr-FR"/>
        </w:rPr>
        <w:t>Le contexte de ces dernières années pour les collectivités locales était difficile : une forte rigueur budgétaire de mise, des incertitudes sur la répartition de l’effort,</w:t>
      </w:r>
      <w:r>
        <w:rPr>
          <w:rFonts w:ascii="Aptos" w:eastAsia="Times New Roman" w:hAnsi="Aptos" w:cs="Times New Roman"/>
          <w:lang w:eastAsia="fr-FR"/>
        </w:rPr>
        <w:t xml:space="preserve"> etc</w:t>
      </w:r>
      <w:r w:rsidR="00A20B22" w:rsidRPr="00825990">
        <w:rPr>
          <w:rFonts w:ascii="Aptos" w:eastAsia="Times New Roman" w:hAnsi="Aptos" w:cs="Times New Roman"/>
          <w:lang w:eastAsia="fr-FR"/>
        </w:rPr>
        <w:t>. Chaque collectivité continuera à être impactée pour 2026 dans la continuité d’un effort conséquent de 2.2 Md€ demandé en 2025.</w:t>
      </w:r>
    </w:p>
    <w:p w14:paraId="0E8A9FE6" w14:textId="77777777" w:rsidR="00A20B22" w:rsidRPr="00825990" w:rsidRDefault="00A20B22" w:rsidP="00A20B22">
      <w:pPr>
        <w:tabs>
          <w:tab w:val="right" w:pos="9923"/>
        </w:tabs>
        <w:spacing w:after="120" w:line="240" w:lineRule="auto"/>
        <w:jc w:val="both"/>
        <w:rPr>
          <w:rFonts w:ascii="Aptos" w:eastAsia="Times New Roman" w:hAnsi="Aptos" w:cs="Times New Roman"/>
          <w:lang w:eastAsia="fr-FR"/>
        </w:rPr>
      </w:pPr>
      <w:r w:rsidRPr="00825990">
        <w:rPr>
          <w:rFonts w:ascii="Aptos" w:eastAsia="Times New Roman" w:hAnsi="Aptos" w:cs="Times New Roman"/>
          <w:lang w:eastAsia="fr-FR"/>
        </w:rPr>
        <w:t xml:space="preserve">Le projet de loi de finances 2026 s’inscrit dans une stratégie pluriannuelle de redressement des comptes publics, afin de ramener le déficit public à 5 % du PIB dès 2025, avec un objectif de retour sous les 3 % à l’horizon 2029. </w:t>
      </w:r>
    </w:p>
    <w:p w14:paraId="708E0A1B" w14:textId="3469AE41" w:rsidR="00A20B22" w:rsidRPr="00825990" w:rsidRDefault="00A20B22" w:rsidP="00AC5851">
      <w:pPr>
        <w:spacing w:after="0" w:line="240" w:lineRule="auto"/>
        <w:jc w:val="both"/>
        <w:rPr>
          <w:rFonts w:ascii="Aptos" w:hAnsi="Aptos"/>
        </w:rPr>
      </w:pPr>
      <w:r w:rsidRPr="00BB0DA7">
        <w:rPr>
          <w:rFonts w:ascii="Aptos" w:eastAsia="Times New Roman" w:hAnsi="Aptos" w:cs="Times New Roman"/>
          <w:lang w:eastAsia="fr-FR"/>
        </w:rPr>
        <w:lastRenderedPageBreak/>
        <w:t xml:space="preserve">Le DILICO, nouveauté 2025, voté en loi de finances 2025, </w:t>
      </w:r>
      <w:r w:rsidR="00AC5851">
        <w:rPr>
          <w:rFonts w:ascii="Aptos" w:eastAsia="Times New Roman" w:hAnsi="Aptos" w:cs="Times New Roman"/>
          <w:lang w:eastAsia="fr-FR"/>
        </w:rPr>
        <w:t>impose</w:t>
      </w:r>
      <w:r w:rsidRPr="00BB0DA7">
        <w:rPr>
          <w:rFonts w:ascii="Aptos" w:eastAsia="Times New Roman" w:hAnsi="Aptos" w:cs="Times New Roman"/>
          <w:lang w:eastAsia="fr-FR"/>
        </w:rPr>
        <w:t xml:space="preserve"> un effort pour « freiner la dette publique ».</w:t>
      </w:r>
      <w:r w:rsidR="00BB0DA7">
        <w:rPr>
          <w:rFonts w:ascii="Aptos" w:eastAsia="Times New Roman" w:hAnsi="Aptos" w:cs="Times New Roman"/>
          <w:lang w:eastAsia="fr-FR"/>
        </w:rPr>
        <w:t xml:space="preserve"> </w:t>
      </w:r>
      <w:r w:rsidRPr="00825990">
        <w:rPr>
          <w:rFonts w:ascii="Aptos" w:hAnsi="Aptos"/>
        </w:rPr>
        <w:t xml:space="preserve">Ce dispositif permet d’opérer des prélèvements obligatoires sur le douzième de fiscalité des collectivités. </w:t>
      </w:r>
      <w:r w:rsidR="00AC5851">
        <w:rPr>
          <w:rFonts w:ascii="Aptos" w:hAnsi="Aptos"/>
        </w:rPr>
        <w:t>Le</w:t>
      </w:r>
      <w:r w:rsidRPr="00825990">
        <w:rPr>
          <w:rFonts w:ascii="Aptos" w:hAnsi="Aptos"/>
        </w:rPr>
        <w:t xml:space="preserve"> prélèvement d’un milliard d’euros </w:t>
      </w:r>
      <w:r w:rsidR="00AC5851">
        <w:rPr>
          <w:rFonts w:ascii="Aptos" w:hAnsi="Aptos"/>
        </w:rPr>
        <w:t>est</w:t>
      </w:r>
      <w:r w:rsidRPr="00825990">
        <w:rPr>
          <w:rFonts w:ascii="Aptos" w:hAnsi="Aptos"/>
        </w:rPr>
        <w:t xml:space="preserve"> mis en réserve pour être redistribués les trois années suivantes. En 2025, la ville de Dinard est concernée pour un montant de presque 100K€ de prélèvement. En 2026, le DILICO est reconduit alors qu’il ne devait concerner qu’une année </w:t>
      </w:r>
      <w:r w:rsidR="00AC5851">
        <w:rPr>
          <w:rFonts w:ascii="Aptos" w:hAnsi="Aptos"/>
        </w:rPr>
        <w:t>et</w:t>
      </w:r>
      <w:r w:rsidRPr="00825990">
        <w:rPr>
          <w:rFonts w:ascii="Aptos" w:hAnsi="Aptos"/>
        </w:rPr>
        <w:t xml:space="preserve"> son montant est doublé passant à 2 Mds€. </w:t>
      </w:r>
    </w:p>
    <w:p w14:paraId="14269836" w14:textId="77777777" w:rsidR="00A20B22" w:rsidRPr="00825990" w:rsidRDefault="00A20B22" w:rsidP="00A20B22">
      <w:pPr>
        <w:pStyle w:val="text-align-justify"/>
        <w:spacing w:before="0" w:beforeAutospacing="0" w:after="0" w:afterAutospacing="0"/>
        <w:rPr>
          <w:rFonts w:ascii="Aptos" w:hAnsi="Aptos"/>
          <w:sz w:val="22"/>
          <w:szCs w:val="22"/>
        </w:rPr>
      </w:pPr>
    </w:p>
    <w:p w14:paraId="27AA0066" w14:textId="4C2101D2" w:rsidR="00A20B22" w:rsidRPr="00825990" w:rsidRDefault="00A20B22" w:rsidP="00BB0DA7">
      <w:pPr>
        <w:pStyle w:val="text-align-justify"/>
        <w:spacing w:before="0" w:beforeAutospacing="0" w:after="0" w:afterAutospacing="0"/>
        <w:rPr>
          <w:rFonts w:ascii="Aptos" w:hAnsi="Aptos"/>
          <w:sz w:val="22"/>
          <w:szCs w:val="22"/>
        </w:rPr>
      </w:pPr>
      <w:r w:rsidRPr="00825990">
        <w:rPr>
          <w:rFonts w:ascii="Aptos" w:hAnsi="Aptos"/>
          <w:sz w:val="22"/>
          <w:szCs w:val="22"/>
        </w:rPr>
        <w:t>Le fonds vert, ou fonds d'accélération de la transition écologique dans les territoires, est fortement diminué après été divisé par deux en 2025 (passant de 2,5 Mds€ en 2024 à 1,15 Md€), ce fonds dédié aux projets d'adaptation au changement climatique des collectivités locales subirait une nouvelle coupe de 500 millions d’euros et se réduirait à 650 M€ en 2026.</w:t>
      </w:r>
    </w:p>
    <w:p w14:paraId="3FDE060C" w14:textId="77777777" w:rsidR="00A20B22" w:rsidRPr="00825990" w:rsidRDefault="00A20B22" w:rsidP="00A20B22">
      <w:pPr>
        <w:pStyle w:val="text-align-justify"/>
        <w:spacing w:before="0" w:beforeAutospacing="0" w:after="0" w:afterAutospacing="0"/>
        <w:rPr>
          <w:rFonts w:ascii="Aptos" w:hAnsi="Aptos"/>
          <w:sz w:val="22"/>
          <w:szCs w:val="22"/>
        </w:rPr>
      </w:pPr>
    </w:p>
    <w:p w14:paraId="439ACEA7" w14:textId="49D8BAEE" w:rsidR="00A20B22" w:rsidRPr="00825990" w:rsidRDefault="00A20B22" w:rsidP="00BB0DA7">
      <w:pPr>
        <w:pStyle w:val="text-align-justify"/>
        <w:spacing w:before="0" w:beforeAutospacing="0" w:after="0" w:afterAutospacing="0"/>
        <w:rPr>
          <w:rFonts w:ascii="Aptos" w:hAnsi="Aptos"/>
          <w:sz w:val="22"/>
          <w:szCs w:val="22"/>
        </w:rPr>
      </w:pPr>
      <w:r w:rsidRPr="00825990">
        <w:rPr>
          <w:rFonts w:ascii="Aptos" w:hAnsi="Aptos"/>
          <w:sz w:val="22"/>
          <w:szCs w:val="22"/>
        </w:rPr>
        <w:t>Le non-abondement de la DGF par l'Etat pour rester à son niveau de 2025, le gel, compte tenu de l'inflation, correspond à une baisse en euros constants.</w:t>
      </w:r>
    </w:p>
    <w:p w14:paraId="29C13402" w14:textId="77777777" w:rsidR="00A20B22" w:rsidRPr="00825990" w:rsidRDefault="00A20B22" w:rsidP="00BB0DA7">
      <w:pPr>
        <w:pStyle w:val="text-align-justify"/>
        <w:spacing w:before="0" w:beforeAutospacing="0" w:after="0" w:afterAutospacing="0"/>
        <w:rPr>
          <w:rFonts w:ascii="Aptos" w:hAnsi="Aptos"/>
          <w:sz w:val="22"/>
          <w:szCs w:val="22"/>
        </w:rPr>
      </w:pPr>
    </w:p>
    <w:p w14:paraId="73F50997" w14:textId="70E663FD" w:rsidR="00A20B22" w:rsidRPr="00BB0DA7" w:rsidRDefault="00A20B22" w:rsidP="00BB0DA7">
      <w:pPr>
        <w:spacing w:after="0" w:line="240" w:lineRule="auto"/>
        <w:jc w:val="both"/>
        <w:rPr>
          <w:rFonts w:ascii="Aptos" w:eastAsia="Times New Roman" w:hAnsi="Aptos" w:cs="Times New Roman"/>
          <w:lang w:eastAsia="fr-FR"/>
        </w:rPr>
      </w:pPr>
      <w:r w:rsidRPr="00BB0DA7">
        <w:rPr>
          <w:rFonts w:ascii="Aptos" w:eastAsia="Times New Roman" w:hAnsi="Aptos" w:cs="Times New Roman"/>
          <w:lang w:eastAsia="fr-FR"/>
        </w:rPr>
        <w:t>Après le gel de la TVA l’an passé, l’exécutif a décidé de poursuivre en 2026 « un encadrement, par une sous-indexation, de la dynamique de cette fiscalité ». Cette mesure serait neutre pour les collectivités locales. </w:t>
      </w:r>
    </w:p>
    <w:p w14:paraId="1A7DD008" w14:textId="77777777" w:rsidR="00A20B22" w:rsidRPr="00825990" w:rsidRDefault="00A20B22" w:rsidP="00A20B22">
      <w:pPr>
        <w:spacing w:after="0" w:line="240" w:lineRule="auto"/>
        <w:rPr>
          <w:rFonts w:ascii="Aptos" w:eastAsia="Times New Roman" w:hAnsi="Aptos" w:cs="Times New Roman"/>
          <w:lang w:eastAsia="fr-FR"/>
        </w:rPr>
      </w:pPr>
    </w:p>
    <w:p w14:paraId="2D5DC02C" w14:textId="5196D114" w:rsidR="00A20B22" w:rsidRPr="00BB0DA7" w:rsidRDefault="00A20B22" w:rsidP="00AC5851">
      <w:pPr>
        <w:spacing w:after="0" w:line="240" w:lineRule="auto"/>
        <w:jc w:val="both"/>
        <w:rPr>
          <w:rFonts w:ascii="Aptos" w:eastAsia="Times New Roman" w:hAnsi="Aptos" w:cs="Times New Roman"/>
          <w:lang w:eastAsia="fr-FR"/>
        </w:rPr>
      </w:pPr>
      <w:r w:rsidRPr="00BB0DA7">
        <w:rPr>
          <w:rFonts w:ascii="Aptos" w:eastAsia="Times New Roman" w:hAnsi="Aptos" w:cs="Times New Roman"/>
          <w:lang w:eastAsia="fr-FR"/>
        </w:rPr>
        <w:t xml:space="preserve">2026 sera impacté par la baisse du taux de FCTVA dont le taux est passé de 16,404 % à 14,85 % depuis le 1er janvier 2025, l’assiette du calcul a également subit des restrictions puisque certaines dépenses sont désormais exclues (dépenses d’entretien des bâtiments publics, de la voirie, des réseaux payés et des prestations de solutions relevant de l’informatique en nuage). </w:t>
      </w:r>
    </w:p>
    <w:p w14:paraId="00A223AB" w14:textId="77777777" w:rsidR="00A20B22" w:rsidRPr="00825990" w:rsidRDefault="00A20B22" w:rsidP="00A20B22">
      <w:pPr>
        <w:pStyle w:val="Paragraphedeliste"/>
        <w:spacing w:after="0" w:line="240" w:lineRule="auto"/>
        <w:ind w:left="763"/>
        <w:rPr>
          <w:rFonts w:ascii="Aptos" w:eastAsia="Times New Roman" w:hAnsi="Aptos" w:cs="Times New Roman"/>
          <w:lang w:eastAsia="fr-FR"/>
        </w:rPr>
      </w:pPr>
    </w:p>
    <w:p w14:paraId="15D6E1DE" w14:textId="21DFC2F6" w:rsidR="00A20B22" w:rsidRDefault="00A20B22" w:rsidP="00BB0DA7">
      <w:pPr>
        <w:tabs>
          <w:tab w:val="right" w:pos="9923"/>
        </w:tabs>
        <w:spacing w:after="120" w:line="240" w:lineRule="auto"/>
        <w:jc w:val="both"/>
        <w:rPr>
          <w:rFonts w:ascii="Aptos" w:eastAsia="Times New Roman" w:hAnsi="Aptos" w:cs="Times New Roman"/>
          <w:lang w:eastAsia="fr-FR"/>
        </w:rPr>
      </w:pPr>
      <w:r w:rsidRPr="00BB0DA7">
        <w:rPr>
          <w:rFonts w:ascii="Aptos" w:eastAsia="Times New Roman" w:hAnsi="Aptos" w:cs="Times New Roman"/>
          <w:lang w:eastAsia="fr-FR"/>
        </w:rPr>
        <w:t>2026 sera de nouveau impacté par la hausse des cotisations CNRACL (environ 350 K€ pour Dinard) de nouveau en 2026 (augmentation de plus d’un milliard d’euros des cotisations des employeurs publics à la CNRACL au niveau national). Le taux de 34,65% est remplacé par le taux de 37.65%.</w:t>
      </w:r>
    </w:p>
    <w:p w14:paraId="6160A7AA" w14:textId="77777777" w:rsidR="00AC5851" w:rsidRPr="00BB0DA7" w:rsidRDefault="00AC5851" w:rsidP="00BB0DA7">
      <w:pPr>
        <w:tabs>
          <w:tab w:val="right" w:pos="9923"/>
        </w:tabs>
        <w:spacing w:after="120" w:line="240" w:lineRule="auto"/>
        <w:jc w:val="both"/>
        <w:rPr>
          <w:rFonts w:ascii="Aptos" w:eastAsia="Times New Roman" w:hAnsi="Aptos" w:cs="Times New Roman"/>
          <w:lang w:eastAsia="fr-FR"/>
        </w:rPr>
      </w:pPr>
    </w:p>
    <w:p w14:paraId="250E67D5" w14:textId="34287817" w:rsidR="00A20B22" w:rsidRPr="00825990" w:rsidRDefault="00A20B22" w:rsidP="00BB0DA7">
      <w:pPr>
        <w:tabs>
          <w:tab w:val="right" w:pos="9923"/>
        </w:tabs>
        <w:spacing w:after="120" w:line="240" w:lineRule="auto"/>
        <w:jc w:val="both"/>
        <w:rPr>
          <w:rFonts w:ascii="Aptos" w:eastAsia="Times New Roman" w:hAnsi="Aptos" w:cs="Times New Roman"/>
          <w:lang w:eastAsia="fr-FR"/>
        </w:rPr>
      </w:pPr>
      <w:r w:rsidRPr="00BB0DA7">
        <w:rPr>
          <w:rFonts w:ascii="Aptos" w:eastAsia="Times New Roman" w:hAnsi="Aptos" w:cs="Times New Roman"/>
          <w:lang w:eastAsia="fr-FR"/>
        </w:rPr>
        <w:t>En contrepartie de ces efforts un « grand chantier » de simplification normative est annoncé par le Gouvernement.</w:t>
      </w:r>
      <w:r w:rsidR="00BB0DA7">
        <w:rPr>
          <w:rFonts w:ascii="Aptos" w:eastAsia="Times New Roman" w:hAnsi="Aptos" w:cs="Times New Roman"/>
          <w:lang w:eastAsia="fr-FR"/>
        </w:rPr>
        <w:t xml:space="preserve"> </w:t>
      </w:r>
      <w:r w:rsidRPr="00825990">
        <w:rPr>
          <w:rFonts w:ascii="Aptos" w:eastAsia="Times New Roman" w:hAnsi="Aptos" w:cs="Times New Roman"/>
          <w:lang w:eastAsia="fr-FR"/>
        </w:rPr>
        <w:t xml:space="preserve">Ainsi par exemple, un « fonds d’investissement pour les territoires » ou FIT pourrait opérer un regroupement des dotations d’investissement existantes </w:t>
      </w:r>
      <w:bookmarkStart w:id="2" w:name="_Hlk212018998"/>
      <w:r w:rsidRPr="00825990">
        <w:rPr>
          <w:rFonts w:ascii="Aptos" w:eastAsia="Times New Roman" w:hAnsi="Aptos" w:cs="Times New Roman"/>
          <w:lang w:eastAsia="fr-FR"/>
        </w:rPr>
        <w:t>Celui-ci regrouperait les dotations de soutien aux investissements bénéficiant au bloc communal (DETR, DSIL, DPV) son montant s’élèverait à 1,4 milliard d’euros en 2026, </w:t>
      </w:r>
    </w:p>
    <w:p w14:paraId="34B22D86" w14:textId="77777777" w:rsidR="00A20B22" w:rsidRPr="00825990" w:rsidRDefault="00A20B22" w:rsidP="00A20B22">
      <w:pPr>
        <w:pStyle w:val="Paragraphedeliste"/>
        <w:spacing w:after="0" w:line="240" w:lineRule="auto"/>
        <w:ind w:left="763"/>
        <w:rPr>
          <w:rFonts w:ascii="Aptos" w:eastAsia="Times New Roman" w:hAnsi="Aptos" w:cs="Times New Roman"/>
          <w:lang w:eastAsia="fr-FR"/>
        </w:rPr>
      </w:pPr>
    </w:p>
    <w:p w14:paraId="32892AAC" w14:textId="77777777" w:rsidR="00A20B22" w:rsidRPr="00BB0DA7" w:rsidRDefault="00A20B22" w:rsidP="00BB0DA7">
      <w:pPr>
        <w:spacing w:after="0" w:line="240" w:lineRule="auto"/>
        <w:rPr>
          <w:rFonts w:ascii="Aptos" w:eastAsia="Times New Roman" w:hAnsi="Aptos" w:cs="Times New Roman"/>
          <w:lang w:eastAsia="fr-FR"/>
        </w:rPr>
      </w:pPr>
      <w:r w:rsidRPr="00BB0DA7">
        <w:rPr>
          <w:rFonts w:ascii="Aptos" w:eastAsia="Times New Roman" w:hAnsi="Aptos" w:cs="Times New Roman"/>
          <w:lang w:eastAsia="fr-FR"/>
        </w:rPr>
        <w:t xml:space="preserve">Les normes en matière de rénovation énergétique des bâtiments tertiaires, caractérisé par une multiplicité d’objectifs, de délais, de normes applicables et de leviers mobilisables, pourrait être simplifié, sans pour autant remettre en cause l’atteinte des objectifs climatiques de la France </w:t>
      </w:r>
    </w:p>
    <w:p w14:paraId="5336DCC7" w14:textId="77777777" w:rsidR="00A20B22" w:rsidRPr="00684395" w:rsidRDefault="00A20B22" w:rsidP="00A20B22">
      <w:pPr>
        <w:pStyle w:val="text-align-justify"/>
        <w:spacing w:before="0" w:beforeAutospacing="0" w:after="0" w:afterAutospacing="0"/>
        <w:rPr>
          <w:rFonts w:ascii="Aptos" w:hAnsi="Aptos"/>
          <w:sz w:val="22"/>
          <w:szCs w:val="22"/>
          <w:highlight w:val="green"/>
        </w:rPr>
      </w:pPr>
    </w:p>
    <w:bookmarkEnd w:id="2"/>
    <w:p w14:paraId="7AC0A564" w14:textId="77777777" w:rsidR="00A20B22" w:rsidRDefault="00A20B22" w:rsidP="00A20B22"/>
    <w:p w14:paraId="11446835" w14:textId="085E7054" w:rsidR="00D80769" w:rsidRDefault="00D80769" w:rsidP="00A20B22">
      <w:pPr>
        <w:tabs>
          <w:tab w:val="right" w:pos="9923"/>
        </w:tabs>
        <w:spacing w:after="120" w:line="240" w:lineRule="auto"/>
        <w:jc w:val="both"/>
        <w:rPr>
          <w:rFonts w:ascii="Calibri Light" w:hAnsi="Calibri Light" w:cs="Calibri Light"/>
          <w:b/>
          <w:bCs/>
          <w:color w:val="31849B" w:themeColor="accent5" w:themeShade="BF"/>
          <w:sz w:val="20"/>
          <w:szCs w:val="20"/>
        </w:rPr>
      </w:pPr>
    </w:p>
    <w:p w14:paraId="75C006DA" w14:textId="77777777" w:rsidR="00A20B22" w:rsidRPr="00A20B22" w:rsidRDefault="00A20B22" w:rsidP="00A20B22">
      <w:pPr>
        <w:tabs>
          <w:tab w:val="right" w:pos="9923"/>
        </w:tabs>
        <w:spacing w:after="120" w:line="240" w:lineRule="auto"/>
        <w:jc w:val="both"/>
        <w:rPr>
          <w:rFonts w:ascii="Calibri Light" w:hAnsi="Calibri Light" w:cs="Calibri Light"/>
          <w:b/>
          <w:bCs/>
          <w:color w:val="31849B" w:themeColor="accent5" w:themeShade="BF"/>
          <w:sz w:val="20"/>
          <w:szCs w:val="20"/>
        </w:rPr>
      </w:pPr>
    </w:p>
    <w:p w14:paraId="1336923F" w14:textId="77777777" w:rsidR="00AC5851" w:rsidRDefault="00AC5851">
      <w:pPr>
        <w:rPr>
          <w:rFonts w:ascii="Calibri Light" w:hAnsi="Calibri Light" w:cs="Calibri Light"/>
          <w:b/>
          <w:bCs/>
          <w:color w:val="31849B" w:themeColor="accent5" w:themeShade="BF"/>
          <w:sz w:val="28"/>
          <w:szCs w:val="28"/>
        </w:rPr>
      </w:pPr>
      <w:r>
        <w:br w:type="page"/>
      </w:r>
    </w:p>
    <w:p w14:paraId="62F29E1C" w14:textId="540D099C" w:rsidR="00D80769" w:rsidRPr="00AF7B76" w:rsidRDefault="00125201" w:rsidP="00053756">
      <w:pPr>
        <w:pStyle w:val="Titre1"/>
      </w:pPr>
      <w:bookmarkStart w:id="3" w:name="_Toc213853348"/>
      <w:r w:rsidRPr="00AF7B76">
        <w:lastRenderedPageBreak/>
        <w:t xml:space="preserve">SITUATION FINANCIERE </w:t>
      </w:r>
      <w:r w:rsidR="00A20B22">
        <w:t xml:space="preserve">2025 </w:t>
      </w:r>
      <w:r w:rsidR="00AF7B76" w:rsidRPr="00AF7B76">
        <w:t>DU CCAS</w:t>
      </w:r>
      <w:r w:rsidRPr="00AF7B76">
        <w:t xml:space="preserve"> DE DINARD</w:t>
      </w:r>
      <w:bookmarkEnd w:id="3"/>
    </w:p>
    <w:p w14:paraId="5490D737" w14:textId="77777777" w:rsidR="003C73F8" w:rsidRPr="005C1FA6" w:rsidRDefault="003C73F8" w:rsidP="008C41D1">
      <w:pPr>
        <w:spacing w:after="120" w:line="240" w:lineRule="auto"/>
        <w:jc w:val="both"/>
        <w:rPr>
          <w:rFonts w:ascii="Calibri Light" w:hAnsi="Calibri Light" w:cs="Calibri Light"/>
          <w:sz w:val="24"/>
          <w:szCs w:val="24"/>
        </w:rPr>
      </w:pPr>
    </w:p>
    <w:p w14:paraId="68F85B87" w14:textId="7398E38F" w:rsidR="008C41D1" w:rsidRPr="0095621C" w:rsidRDefault="00053756" w:rsidP="0069394F">
      <w:pPr>
        <w:pStyle w:val="Titre2"/>
        <w:numPr>
          <w:ilvl w:val="0"/>
          <w:numId w:val="5"/>
        </w:numPr>
      </w:pPr>
      <w:bookmarkStart w:id="4" w:name="_Toc213853349"/>
      <w:r w:rsidRPr="0095621C">
        <w:t>R</w:t>
      </w:r>
      <w:r w:rsidR="008C41D1" w:rsidRPr="0095621C">
        <w:t>ecettes de fonctionnement</w:t>
      </w:r>
      <w:bookmarkEnd w:id="4"/>
    </w:p>
    <w:p w14:paraId="1ADC3D36" w14:textId="77777777" w:rsidR="008C41D1" w:rsidRPr="0095621C" w:rsidRDefault="008C41D1" w:rsidP="008C41D1">
      <w:pPr>
        <w:spacing w:line="240" w:lineRule="auto"/>
        <w:jc w:val="both"/>
        <w:rPr>
          <w:rFonts w:ascii="Calibri Light" w:eastAsia="Times New Roman" w:hAnsi="Calibri Light" w:cs="Calibri Light"/>
          <w:sz w:val="6"/>
          <w:szCs w:val="6"/>
          <w:lang w:eastAsia="fr-FR"/>
        </w:rPr>
      </w:pPr>
    </w:p>
    <w:p w14:paraId="7AFFEF11" w14:textId="3C0D9D9D" w:rsidR="00AA427D" w:rsidRPr="0095621C" w:rsidRDefault="005509ED" w:rsidP="00AF7B76">
      <w:pPr>
        <w:spacing w:line="240" w:lineRule="auto"/>
        <w:jc w:val="both"/>
        <w:rPr>
          <w:rFonts w:ascii="Calibri Light" w:eastAsia="Times New Roman" w:hAnsi="Calibri Light" w:cs="Calibri Light"/>
          <w:lang w:eastAsia="fr-FR"/>
        </w:rPr>
      </w:pPr>
      <w:r w:rsidRPr="0095621C">
        <w:rPr>
          <w:rFonts w:ascii="Calibri Light" w:eastAsia="Times New Roman" w:hAnsi="Calibri Light" w:cs="Calibri Light"/>
          <w:lang w:eastAsia="fr-FR"/>
        </w:rPr>
        <w:t>L</w:t>
      </w:r>
      <w:r w:rsidR="008C41D1" w:rsidRPr="0095621C">
        <w:rPr>
          <w:rFonts w:ascii="Calibri Light" w:eastAsia="Times New Roman" w:hAnsi="Calibri Light" w:cs="Calibri Light"/>
          <w:lang w:eastAsia="fr-FR"/>
        </w:rPr>
        <w:t>es recettes de fonctionnement 202</w:t>
      </w:r>
      <w:r w:rsidR="00D032B3">
        <w:rPr>
          <w:rFonts w:ascii="Calibri Light" w:eastAsia="Times New Roman" w:hAnsi="Calibri Light" w:cs="Calibri Light"/>
          <w:lang w:eastAsia="fr-FR"/>
        </w:rPr>
        <w:t>5</w:t>
      </w:r>
      <w:r w:rsidR="008C41D1" w:rsidRPr="0095621C">
        <w:rPr>
          <w:rFonts w:ascii="Calibri Light" w:eastAsia="Times New Roman" w:hAnsi="Calibri Light" w:cs="Calibri Light"/>
          <w:lang w:eastAsia="fr-FR"/>
        </w:rPr>
        <w:t xml:space="preserve"> </w:t>
      </w:r>
      <w:r w:rsidR="00AF7B76" w:rsidRPr="0095621C">
        <w:rPr>
          <w:rFonts w:ascii="Calibri Light" w:eastAsia="Times New Roman" w:hAnsi="Calibri Light" w:cs="Calibri Light"/>
          <w:lang w:eastAsia="fr-FR"/>
        </w:rPr>
        <w:t>du CCAS se composent</w:t>
      </w:r>
      <w:r w:rsidR="00333FBC" w:rsidRPr="0095621C">
        <w:rPr>
          <w:rFonts w:ascii="Calibri Light" w:eastAsia="Times New Roman" w:hAnsi="Calibri Light" w:cs="Calibri Light"/>
          <w:lang w:eastAsia="fr-FR"/>
        </w:rPr>
        <w:t> </w:t>
      </w:r>
      <w:r w:rsidR="0095621C">
        <w:rPr>
          <w:rFonts w:ascii="Calibri Light" w:eastAsia="Times New Roman" w:hAnsi="Calibri Light" w:cs="Calibri Light"/>
          <w:lang w:eastAsia="fr-FR"/>
        </w:rPr>
        <w:t xml:space="preserve">des lignes suivantes </w:t>
      </w:r>
      <w:r w:rsidR="00333FBC" w:rsidRPr="0095621C">
        <w:rPr>
          <w:rFonts w:ascii="Calibri Light" w:eastAsia="Times New Roman" w:hAnsi="Calibri Light" w:cs="Calibri Light"/>
          <w:lang w:eastAsia="fr-FR"/>
        </w:rPr>
        <w:t>:</w:t>
      </w:r>
    </w:p>
    <w:p w14:paraId="71998A6E" w14:textId="76266AD4" w:rsidR="00F03756" w:rsidRPr="00F03756" w:rsidRDefault="0095621C" w:rsidP="00F03756">
      <w:pPr>
        <w:pStyle w:val="Paragraphedeliste"/>
        <w:numPr>
          <w:ilvl w:val="0"/>
          <w:numId w:val="4"/>
        </w:numPr>
        <w:spacing w:after="0" w:line="240" w:lineRule="auto"/>
        <w:ind w:left="714" w:hanging="357"/>
        <w:jc w:val="both"/>
        <w:rPr>
          <w:rFonts w:ascii="Calibri Light" w:eastAsia="Times New Roman" w:hAnsi="Calibri Light" w:cs="Calibri Light"/>
          <w:strike/>
          <w:lang w:eastAsia="fr-FR"/>
        </w:rPr>
      </w:pPr>
      <w:r w:rsidRPr="00E62BC7">
        <w:rPr>
          <w:rFonts w:ascii="Calibri Light" w:eastAsia="Times New Roman" w:hAnsi="Calibri Light" w:cs="Calibri Light"/>
          <w:u w:val="single"/>
          <w:lang w:eastAsia="fr-FR"/>
        </w:rPr>
        <w:t>Les</w:t>
      </w:r>
      <w:r>
        <w:rPr>
          <w:rFonts w:ascii="Calibri Light" w:eastAsia="Times New Roman" w:hAnsi="Calibri Light" w:cs="Calibri Light"/>
          <w:u w:val="single"/>
          <w:lang w:eastAsia="fr-FR"/>
        </w:rPr>
        <w:t xml:space="preserve"> </w:t>
      </w:r>
      <w:r w:rsidR="00333FBC" w:rsidRPr="0095621C">
        <w:rPr>
          <w:rFonts w:ascii="Calibri Light" w:eastAsia="Times New Roman" w:hAnsi="Calibri Light" w:cs="Calibri Light"/>
          <w:u w:val="single"/>
          <w:lang w:eastAsia="fr-FR"/>
        </w:rPr>
        <w:t>recettes liées aux service</w:t>
      </w:r>
      <w:r w:rsidRPr="0095621C">
        <w:rPr>
          <w:rFonts w:ascii="Calibri Light" w:eastAsia="Times New Roman" w:hAnsi="Calibri Light" w:cs="Calibri Light"/>
          <w:u w:val="single"/>
          <w:lang w:eastAsia="fr-FR"/>
        </w:rPr>
        <w:t>s et activités payants proposés :</w:t>
      </w:r>
      <w:r w:rsidR="00333FBC" w:rsidRPr="0095621C">
        <w:rPr>
          <w:rFonts w:ascii="Calibri Light" w:eastAsia="Times New Roman" w:hAnsi="Calibri Light" w:cs="Calibri Light"/>
          <w:lang w:eastAsia="fr-FR"/>
        </w:rPr>
        <w:t xml:space="preserve"> (activités seniors</w:t>
      </w:r>
      <w:r w:rsidR="00F559D1">
        <w:rPr>
          <w:rFonts w:ascii="Calibri Light" w:eastAsia="Times New Roman" w:hAnsi="Calibri Light" w:cs="Calibri Light"/>
          <w:lang w:eastAsia="fr-FR"/>
        </w:rPr>
        <w:t xml:space="preserve"> et adultes/famille</w:t>
      </w:r>
      <w:r w:rsidR="00333FBC" w:rsidRPr="0095621C">
        <w:rPr>
          <w:rFonts w:ascii="Calibri Light" w:eastAsia="Times New Roman" w:hAnsi="Calibri Light" w:cs="Calibri Light"/>
          <w:lang w:eastAsia="fr-FR"/>
        </w:rPr>
        <w:t xml:space="preserve">, frais d’inscription aux événements et sorties) : </w:t>
      </w:r>
      <w:r w:rsidR="00125C35">
        <w:rPr>
          <w:rFonts w:ascii="Calibri Light" w:eastAsia="Times New Roman" w:hAnsi="Calibri Light" w:cs="Calibri Light"/>
          <w:lang w:eastAsia="fr-FR"/>
        </w:rPr>
        <w:t>25 000</w:t>
      </w:r>
      <w:r w:rsidR="00181524" w:rsidRPr="00F559D1">
        <w:rPr>
          <w:rFonts w:ascii="Calibri Light" w:eastAsia="Times New Roman" w:hAnsi="Calibri Light" w:cs="Calibri Light"/>
          <w:lang w:eastAsia="fr-FR"/>
        </w:rPr>
        <w:t xml:space="preserve"> </w:t>
      </w:r>
      <w:r w:rsidR="00333FBC" w:rsidRPr="00F559D1">
        <w:rPr>
          <w:rFonts w:ascii="Calibri Light" w:eastAsia="Times New Roman" w:hAnsi="Calibri Light" w:cs="Calibri Light"/>
          <w:lang w:eastAsia="fr-FR"/>
        </w:rPr>
        <w:t>€</w:t>
      </w:r>
      <w:r w:rsidR="00333FBC" w:rsidRPr="0095621C">
        <w:rPr>
          <w:rFonts w:ascii="Calibri Light" w:eastAsia="Times New Roman" w:hAnsi="Calibri Light" w:cs="Calibri Light"/>
          <w:lang w:eastAsia="fr-FR"/>
        </w:rPr>
        <w:t xml:space="preserve"> environ. </w:t>
      </w:r>
      <w:r w:rsidRPr="0095621C">
        <w:rPr>
          <w:rFonts w:ascii="Calibri Light" w:eastAsia="Times New Roman" w:hAnsi="Calibri Light" w:cs="Calibri Light"/>
          <w:lang w:eastAsia="fr-FR"/>
        </w:rPr>
        <w:t xml:space="preserve">Cette somme reste modeste </w:t>
      </w:r>
      <w:r w:rsidR="00645ACF">
        <w:rPr>
          <w:rFonts w:ascii="Calibri Light" w:eastAsia="Times New Roman" w:hAnsi="Calibri Light" w:cs="Calibri Light"/>
          <w:lang w:eastAsia="fr-FR"/>
        </w:rPr>
        <w:t>du fait</w:t>
      </w:r>
      <w:r w:rsidRPr="0095621C">
        <w:rPr>
          <w:rFonts w:ascii="Calibri Light" w:eastAsia="Times New Roman" w:hAnsi="Calibri Light" w:cs="Calibri Light"/>
          <w:lang w:eastAsia="fr-FR"/>
        </w:rPr>
        <w:t xml:space="preserve"> des tarifs sociaux </w:t>
      </w:r>
      <w:r w:rsidRPr="00E62BC7">
        <w:rPr>
          <w:rFonts w:ascii="Calibri Light" w:eastAsia="Times New Roman" w:hAnsi="Calibri Light" w:cs="Calibri Light"/>
          <w:lang w:eastAsia="fr-FR"/>
        </w:rPr>
        <w:t xml:space="preserve">proposés aux bénéficiaires. </w:t>
      </w:r>
    </w:p>
    <w:p w14:paraId="587AF92D" w14:textId="14724B57" w:rsidR="00F03756" w:rsidRPr="00F03756" w:rsidRDefault="0095621C" w:rsidP="00F03756">
      <w:pPr>
        <w:pStyle w:val="Paragraphedeliste"/>
        <w:numPr>
          <w:ilvl w:val="0"/>
          <w:numId w:val="4"/>
        </w:numPr>
        <w:spacing w:line="240" w:lineRule="auto"/>
        <w:jc w:val="both"/>
        <w:rPr>
          <w:rFonts w:ascii="Calibri Light" w:eastAsia="Times New Roman" w:hAnsi="Calibri Light" w:cs="Calibri Light"/>
          <w:lang w:eastAsia="fr-FR"/>
        </w:rPr>
      </w:pPr>
      <w:r>
        <w:rPr>
          <w:rFonts w:ascii="Calibri Light" w:eastAsia="Times New Roman" w:hAnsi="Calibri Light" w:cs="Calibri Light"/>
          <w:u w:val="single"/>
          <w:lang w:eastAsia="fr-FR"/>
        </w:rPr>
        <w:t xml:space="preserve">La </w:t>
      </w:r>
      <w:r w:rsidRPr="0095621C">
        <w:rPr>
          <w:rFonts w:ascii="Calibri Light" w:eastAsia="Times New Roman" w:hAnsi="Calibri Light" w:cs="Calibri Light"/>
          <w:u w:val="single"/>
          <w:lang w:eastAsia="fr-FR"/>
        </w:rPr>
        <w:t>refacturation des salaires d</w:t>
      </w:r>
      <w:r w:rsidR="000549C4">
        <w:rPr>
          <w:rFonts w:ascii="Calibri Light" w:eastAsia="Times New Roman" w:hAnsi="Calibri Light" w:cs="Calibri Light"/>
          <w:u w:val="single"/>
          <w:lang w:eastAsia="fr-FR"/>
        </w:rPr>
        <w:t>’un</w:t>
      </w:r>
      <w:r w:rsidRPr="0095621C">
        <w:rPr>
          <w:rFonts w:ascii="Calibri Light" w:eastAsia="Times New Roman" w:hAnsi="Calibri Light" w:cs="Calibri Light"/>
          <w:u w:val="single"/>
          <w:lang w:eastAsia="fr-FR"/>
        </w:rPr>
        <w:t xml:space="preserve"> agent mis à disposition de l’ADSCE</w:t>
      </w:r>
      <w:r w:rsidRPr="0095621C">
        <w:rPr>
          <w:rFonts w:ascii="Calibri Light" w:eastAsia="Times New Roman" w:hAnsi="Calibri Light" w:cs="Calibri Light"/>
          <w:lang w:eastAsia="fr-FR"/>
        </w:rPr>
        <w:t xml:space="preserve">, depuis le transfert du service d’aide à domicile à l’association. </w:t>
      </w:r>
      <w:r w:rsidR="009F67C8">
        <w:rPr>
          <w:rFonts w:ascii="Calibri Light" w:eastAsia="Times New Roman" w:hAnsi="Calibri Light" w:cs="Calibri Light"/>
          <w:lang w:eastAsia="fr-FR"/>
        </w:rPr>
        <w:t xml:space="preserve">Un </w:t>
      </w:r>
      <w:r w:rsidRPr="0095621C">
        <w:rPr>
          <w:rFonts w:ascii="Calibri Light" w:eastAsia="Times New Roman" w:hAnsi="Calibri Light" w:cs="Calibri Light"/>
          <w:lang w:eastAsia="fr-FR"/>
        </w:rPr>
        <w:t xml:space="preserve">agent </w:t>
      </w:r>
      <w:r w:rsidR="009F67C8">
        <w:rPr>
          <w:rFonts w:ascii="Calibri Light" w:eastAsia="Times New Roman" w:hAnsi="Calibri Light" w:cs="Calibri Light"/>
          <w:lang w:eastAsia="fr-FR"/>
        </w:rPr>
        <w:t>est</w:t>
      </w:r>
      <w:r w:rsidRPr="0095621C">
        <w:rPr>
          <w:rFonts w:ascii="Calibri Light" w:eastAsia="Times New Roman" w:hAnsi="Calibri Light" w:cs="Calibri Light"/>
          <w:lang w:eastAsia="fr-FR"/>
        </w:rPr>
        <w:t xml:space="preserve"> concerné pour un montant qui </w:t>
      </w:r>
      <w:r w:rsidR="00A713C8">
        <w:rPr>
          <w:rFonts w:ascii="Calibri Light" w:eastAsia="Times New Roman" w:hAnsi="Calibri Light" w:cs="Calibri Light"/>
          <w:lang w:eastAsia="fr-FR"/>
        </w:rPr>
        <w:t>estimé à fin</w:t>
      </w:r>
      <w:r w:rsidRPr="0095621C">
        <w:rPr>
          <w:rFonts w:ascii="Calibri Light" w:eastAsia="Times New Roman" w:hAnsi="Calibri Light" w:cs="Calibri Light"/>
          <w:lang w:eastAsia="fr-FR"/>
        </w:rPr>
        <w:t xml:space="preserve"> 202</w:t>
      </w:r>
      <w:r w:rsidR="00D032B3">
        <w:rPr>
          <w:rFonts w:ascii="Calibri Light" w:eastAsia="Times New Roman" w:hAnsi="Calibri Light" w:cs="Calibri Light"/>
          <w:lang w:eastAsia="fr-FR"/>
        </w:rPr>
        <w:t>5</w:t>
      </w:r>
      <w:r w:rsidRPr="0095621C">
        <w:rPr>
          <w:rFonts w:ascii="Calibri Light" w:eastAsia="Times New Roman" w:hAnsi="Calibri Light" w:cs="Calibri Light"/>
          <w:lang w:eastAsia="fr-FR"/>
        </w:rPr>
        <w:t xml:space="preserve"> à</w:t>
      </w:r>
      <w:r w:rsidR="00A713C8">
        <w:rPr>
          <w:rFonts w:ascii="Calibri Light" w:eastAsia="Times New Roman" w:hAnsi="Calibri Light" w:cs="Calibri Light"/>
          <w:lang w:eastAsia="fr-FR"/>
        </w:rPr>
        <w:t xml:space="preserve"> une somme de</w:t>
      </w:r>
      <w:r w:rsidRPr="0095621C">
        <w:rPr>
          <w:rFonts w:ascii="Calibri Light" w:eastAsia="Times New Roman" w:hAnsi="Calibri Light" w:cs="Calibri Light"/>
          <w:lang w:eastAsia="fr-FR"/>
        </w:rPr>
        <w:t xml:space="preserve"> </w:t>
      </w:r>
      <w:r w:rsidR="00BC757B">
        <w:rPr>
          <w:rFonts w:ascii="Calibri Light" w:eastAsia="Times New Roman" w:hAnsi="Calibri Light" w:cs="Calibri Light"/>
          <w:lang w:eastAsia="fr-FR"/>
        </w:rPr>
        <w:t>58</w:t>
      </w:r>
      <w:r w:rsidR="00A713C8">
        <w:rPr>
          <w:rFonts w:ascii="Calibri Light" w:eastAsia="Times New Roman" w:hAnsi="Calibri Light" w:cs="Calibri Light"/>
          <w:lang w:eastAsia="fr-FR"/>
        </w:rPr>
        <w:t xml:space="preserve"> </w:t>
      </w:r>
      <w:r w:rsidR="00BC757B">
        <w:rPr>
          <w:rFonts w:ascii="Calibri Light" w:eastAsia="Times New Roman" w:hAnsi="Calibri Light" w:cs="Calibri Light"/>
          <w:lang w:eastAsia="fr-FR"/>
        </w:rPr>
        <w:t>6</w:t>
      </w:r>
      <w:r w:rsidR="00A713C8">
        <w:rPr>
          <w:rFonts w:ascii="Calibri Light" w:eastAsia="Times New Roman" w:hAnsi="Calibri Light" w:cs="Calibri Light"/>
          <w:lang w:eastAsia="fr-FR"/>
        </w:rPr>
        <w:t>00€.</w:t>
      </w:r>
    </w:p>
    <w:p w14:paraId="0C5195B2" w14:textId="637495C0" w:rsidR="0095621C" w:rsidRPr="0095621C" w:rsidRDefault="0095621C" w:rsidP="0069394F">
      <w:pPr>
        <w:pStyle w:val="Paragraphedeliste"/>
        <w:numPr>
          <w:ilvl w:val="0"/>
          <w:numId w:val="4"/>
        </w:numPr>
        <w:spacing w:line="240" w:lineRule="auto"/>
        <w:jc w:val="both"/>
        <w:rPr>
          <w:rFonts w:ascii="Calibri Light" w:eastAsia="Times New Roman" w:hAnsi="Calibri Light" w:cs="Calibri Light"/>
          <w:lang w:eastAsia="fr-FR"/>
        </w:rPr>
      </w:pPr>
      <w:r>
        <w:rPr>
          <w:rFonts w:ascii="Calibri Light" w:eastAsia="Times New Roman" w:hAnsi="Calibri Light" w:cs="Calibri Light"/>
          <w:u w:val="single"/>
          <w:lang w:eastAsia="fr-FR"/>
        </w:rPr>
        <w:t xml:space="preserve">La </w:t>
      </w:r>
      <w:r w:rsidRPr="0095621C">
        <w:rPr>
          <w:rFonts w:ascii="Calibri Light" w:eastAsia="Times New Roman" w:hAnsi="Calibri Light" w:cs="Calibri Light"/>
          <w:u w:val="single"/>
          <w:lang w:eastAsia="fr-FR"/>
        </w:rPr>
        <w:t>subvention de la Ville</w:t>
      </w:r>
      <w:r w:rsidRPr="0095621C">
        <w:rPr>
          <w:rFonts w:ascii="Calibri Light" w:eastAsia="Times New Roman" w:hAnsi="Calibri Light" w:cs="Calibri Light"/>
          <w:lang w:eastAsia="fr-FR"/>
        </w:rPr>
        <w:t>, au regard du besoin de financement</w:t>
      </w:r>
      <w:r w:rsidR="00F03756">
        <w:rPr>
          <w:rFonts w:ascii="Calibri Light" w:eastAsia="Times New Roman" w:hAnsi="Calibri Light" w:cs="Calibri Light"/>
          <w:lang w:eastAsia="fr-FR"/>
        </w:rPr>
        <w:t>,</w:t>
      </w:r>
      <w:r w:rsidRPr="0095621C">
        <w:rPr>
          <w:rFonts w:ascii="Calibri Light" w:eastAsia="Times New Roman" w:hAnsi="Calibri Light" w:cs="Calibri Light"/>
          <w:lang w:eastAsia="fr-FR"/>
        </w:rPr>
        <w:t xml:space="preserve"> 6</w:t>
      </w:r>
      <w:r w:rsidR="00D032B3">
        <w:rPr>
          <w:rFonts w:ascii="Calibri Light" w:eastAsia="Times New Roman" w:hAnsi="Calibri Light" w:cs="Calibri Light"/>
          <w:lang w:eastAsia="fr-FR"/>
        </w:rPr>
        <w:t>0</w:t>
      </w:r>
      <w:r w:rsidRPr="0095621C">
        <w:rPr>
          <w:rFonts w:ascii="Calibri Light" w:eastAsia="Times New Roman" w:hAnsi="Calibri Light" w:cs="Calibri Light"/>
          <w:lang w:eastAsia="fr-FR"/>
        </w:rPr>
        <w:t>0</w:t>
      </w:r>
      <w:r w:rsidR="00560E60">
        <w:rPr>
          <w:rFonts w:ascii="Calibri Light" w:eastAsia="Times New Roman" w:hAnsi="Calibri Light" w:cs="Calibri Light"/>
          <w:lang w:eastAsia="fr-FR"/>
        </w:rPr>
        <w:t> </w:t>
      </w:r>
      <w:r w:rsidRPr="0095621C">
        <w:rPr>
          <w:rFonts w:ascii="Calibri Light" w:eastAsia="Times New Roman" w:hAnsi="Calibri Light" w:cs="Calibri Light"/>
          <w:lang w:eastAsia="fr-FR"/>
        </w:rPr>
        <w:t>000</w:t>
      </w:r>
      <w:r w:rsidR="00560E60">
        <w:rPr>
          <w:rFonts w:ascii="Calibri Light" w:eastAsia="Times New Roman" w:hAnsi="Calibri Light" w:cs="Calibri Light"/>
          <w:lang w:eastAsia="fr-FR"/>
        </w:rPr>
        <w:t xml:space="preserve"> </w:t>
      </w:r>
      <w:r w:rsidRPr="0095621C">
        <w:rPr>
          <w:rFonts w:ascii="Calibri Light" w:eastAsia="Times New Roman" w:hAnsi="Calibri Light" w:cs="Calibri Light"/>
          <w:lang w:eastAsia="fr-FR"/>
        </w:rPr>
        <w:t>€.</w:t>
      </w:r>
    </w:p>
    <w:p w14:paraId="369AE3EF" w14:textId="4630991E" w:rsidR="0095621C" w:rsidRPr="0095621C" w:rsidRDefault="0095621C" w:rsidP="0069394F">
      <w:pPr>
        <w:pStyle w:val="Paragraphedeliste"/>
        <w:numPr>
          <w:ilvl w:val="0"/>
          <w:numId w:val="4"/>
        </w:numPr>
        <w:spacing w:line="240" w:lineRule="auto"/>
        <w:jc w:val="both"/>
        <w:rPr>
          <w:rFonts w:ascii="Calibri Light" w:eastAsia="Times New Roman" w:hAnsi="Calibri Light" w:cs="Calibri Light"/>
          <w:lang w:eastAsia="fr-FR"/>
        </w:rPr>
      </w:pPr>
      <w:r>
        <w:rPr>
          <w:rFonts w:ascii="Calibri Light" w:eastAsia="Times New Roman" w:hAnsi="Calibri Light" w:cs="Calibri Light"/>
          <w:u w:val="single"/>
          <w:lang w:eastAsia="fr-FR"/>
        </w:rPr>
        <w:t>Une</w:t>
      </w:r>
      <w:r w:rsidRPr="0095621C">
        <w:rPr>
          <w:rFonts w:ascii="Calibri Light" w:eastAsia="Times New Roman" w:hAnsi="Calibri Light" w:cs="Calibri Light"/>
          <w:u w:val="single"/>
          <w:lang w:eastAsia="fr-FR"/>
        </w:rPr>
        <w:t xml:space="preserve"> subvention de la CAF</w:t>
      </w:r>
      <w:r w:rsidRPr="0095621C">
        <w:rPr>
          <w:rFonts w:ascii="Calibri Light" w:eastAsia="Times New Roman" w:hAnsi="Calibri Light" w:cs="Calibri Light"/>
          <w:lang w:eastAsia="fr-FR"/>
        </w:rPr>
        <w:t xml:space="preserve"> pour le projet d’accompagnement à la scolarité (CLAS) : </w:t>
      </w:r>
      <w:r w:rsidR="00137B91">
        <w:rPr>
          <w:rFonts w:ascii="Calibri Light" w:eastAsia="Times New Roman" w:hAnsi="Calibri Light" w:cs="Calibri Light"/>
          <w:lang w:eastAsia="fr-FR"/>
        </w:rPr>
        <w:t>3 556</w:t>
      </w:r>
      <w:r w:rsidR="00C8139C">
        <w:rPr>
          <w:rFonts w:ascii="Calibri Light" w:eastAsia="Times New Roman" w:hAnsi="Calibri Light" w:cs="Calibri Light"/>
          <w:lang w:eastAsia="fr-FR"/>
        </w:rPr>
        <w:t xml:space="preserve"> </w:t>
      </w:r>
      <w:r w:rsidRPr="0095621C">
        <w:rPr>
          <w:rFonts w:ascii="Calibri Light" w:eastAsia="Times New Roman" w:hAnsi="Calibri Light" w:cs="Calibri Light"/>
          <w:lang w:eastAsia="fr-FR"/>
        </w:rPr>
        <w:t>€</w:t>
      </w:r>
    </w:p>
    <w:p w14:paraId="43BD4739" w14:textId="61A3087A" w:rsidR="0095621C" w:rsidRPr="00A7483D" w:rsidRDefault="0095621C" w:rsidP="0069394F">
      <w:pPr>
        <w:pStyle w:val="Paragraphedeliste"/>
        <w:numPr>
          <w:ilvl w:val="0"/>
          <w:numId w:val="4"/>
        </w:numPr>
        <w:spacing w:line="240" w:lineRule="auto"/>
        <w:jc w:val="both"/>
        <w:rPr>
          <w:rFonts w:ascii="Calibri Light" w:eastAsia="Times New Roman" w:hAnsi="Calibri Light" w:cs="Calibri Light"/>
          <w:lang w:eastAsia="fr-FR"/>
        </w:rPr>
      </w:pPr>
      <w:r w:rsidRPr="00A7483D">
        <w:rPr>
          <w:rFonts w:ascii="Calibri Light" w:eastAsia="Times New Roman" w:hAnsi="Calibri Light" w:cs="Calibri Light"/>
          <w:u w:val="single"/>
          <w:lang w:eastAsia="fr-FR"/>
        </w:rPr>
        <w:t>Des dons</w:t>
      </w:r>
      <w:r w:rsidRPr="00A7483D">
        <w:rPr>
          <w:rFonts w:ascii="Calibri Light" w:eastAsia="Times New Roman" w:hAnsi="Calibri Light" w:cs="Calibri Light"/>
          <w:lang w:eastAsia="fr-FR"/>
        </w:rPr>
        <w:t xml:space="preserve"> versés par le Casino et dans le cadre du concert annuel de Florence DELAAGE</w:t>
      </w:r>
      <w:r w:rsidR="00A7483D" w:rsidRPr="00A7483D">
        <w:rPr>
          <w:rFonts w:ascii="Calibri Light" w:eastAsia="Times New Roman" w:hAnsi="Calibri Light" w:cs="Calibri Light"/>
          <w:lang w:eastAsia="fr-FR"/>
        </w:rPr>
        <w:t xml:space="preserve"> </w:t>
      </w:r>
      <w:r w:rsidRPr="00A7483D">
        <w:rPr>
          <w:rFonts w:ascii="Calibri Light" w:eastAsia="Times New Roman" w:hAnsi="Calibri Light" w:cs="Calibri Light"/>
          <w:lang w:eastAsia="fr-FR"/>
        </w:rPr>
        <w:t xml:space="preserve">pour un montant de </w:t>
      </w:r>
      <w:r w:rsidR="00F559D1" w:rsidRPr="00A7483D">
        <w:rPr>
          <w:rFonts w:ascii="Calibri Light" w:eastAsia="Times New Roman" w:hAnsi="Calibri Light" w:cs="Calibri Light"/>
          <w:lang w:eastAsia="fr-FR"/>
        </w:rPr>
        <w:t>1</w:t>
      </w:r>
      <w:r w:rsidR="00A7483D" w:rsidRPr="00A7483D">
        <w:rPr>
          <w:rFonts w:ascii="Calibri Light" w:eastAsia="Times New Roman" w:hAnsi="Calibri Light" w:cs="Calibri Light"/>
          <w:lang w:eastAsia="fr-FR"/>
        </w:rPr>
        <w:t>2 000</w:t>
      </w:r>
      <w:r w:rsidR="00F559D1" w:rsidRPr="00A7483D">
        <w:rPr>
          <w:rFonts w:ascii="Calibri Light" w:eastAsia="Times New Roman" w:hAnsi="Calibri Light" w:cs="Calibri Light"/>
          <w:lang w:eastAsia="fr-FR"/>
        </w:rPr>
        <w:t xml:space="preserve"> </w:t>
      </w:r>
      <w:r w:rsidR="00CC3D15" w:rsidRPr="00A7483D">
        <w:rPr>
          <w:rFonts w:ascii="Calibri Light" w:eastAsia="Times New Roman" w:hAnsi="Calibri Light" w:cs="Calibri Light"/>
          <w:lang w:eastAsia="fr-FR"/>
        </w:rPr>
        <w:t>€</w:t>
      </w:r>
      <w:r w:rsidR="00CC3D15" w:rsidRPr="00A7483D">
        <w:rPr>
          <w:rFonts w:ascii="Calibri Light" w:eastAsia="Times New Roman" w:hAnsi="Calibri Light" w:cs="Calibri Light"/>
          <w:vertAlign w:val="superscript"/>
          <w:lang w:eastAsia="fr-FR"/>
        </w:rPr>
        <w:t xml:space="preserve"> </w:t>
      </w:r>
      <w:r w:rsidR="00CC3D15" w:rsidRPr="00A7483D">
        <w:rPr>
          <w:rFonts w:ascii="Calibri Light" w:eastAsia="Times New Roman" w:hAnsi="Calibri Light" w:cs="Calibri Light"/>
          <w:lang w:eastAsia="fr-FR"/>
        </w:rPr>
        <w:t>environ</w:t>
      </w:r>
      <w:r w:rsidRPr="00A7483D">
        <w:rPr>
          <w:rFonts w:ascii="Calibri Light" w:eastAsia="Times New Roman" w:hAnsi="Calibri Light" w:cs="Calibri Light"/>
          <w:lang w:eastAsia="fr-FR"/>
        </w:rPr>
        <w:t>.</w:t>
      </w:r>
    </w:p>
    <w:p w14:paraId="1E2B6085" w14:textId="77777777" w:rsidR="00C4593C" w:rsidRPr="003F763E" w:rsidRDefault="00C4593C" w:rsidP="0095621C">
      <w:pPr>
        <w:rPr>
          <w:rFonts w:ascii="Calibri Light" w:eastAsia="Times New Roman" w:hAnsi="Calibri Light" w:cs="Calibri Light"/>
          <w:lang w:eastAsia="fr-FR"/>
        </w:rPr>
      </w:pPr>
    </w:p>
    <w:p w14:paraId="62519354" w14:textId="34D8F8D4" w:rsidR="00952BDF" w:rsidRDefault="00053756" w:rsidP="00053756">
      <w:pPr>
        <w:pStyle w:val="Titre2"/>
      </w:pPr>
      <w:bookmarkStart w:id="5" w:name="_Toc213853350"/>
      <w:r w:rsidRPr="003F763E">
        <w:t>D</w:t>
      </w:r>
      <w:r w:rsidR="008C41D1" w:rsidRPr="003F763E">
        <w:t>épenses de fonctionnement</w:t>
      </w:r>
      <w:bookmarkEnd w:id="5"/>
      <w:r w:rsidRPr="003F763E">
        <w:t xml:space="preserve"> </w:t>
      </w:r>
    </w:p>
    <w:p w14:paraId="211EE4D2" w14:textId="77777777" w:rsidR="00F03756" w:rsidRPr="00F03756" w:rsidRDefault="00F03756" w:rsidP="00F03756"/>
    <w:p w14:paraId="71658888" w14:textId="24DD2257" w:rsidR="00EE4B67" w:rsidRPr="00EE4B67" w:rsidRDefault="00EE4B67" w:rsidP="00EE4B67">
      <w:pPr>
        <w:pStyle w:val="Titre3"/>
        <w:rPr>
          <w:lang w:eastAsia="fr-FR"/>
        </w:rPr>
      </w:pPr>
      <w:bookmarkStart w:id="6" w:name="_Toc213853351"/>
      <w:r w:rsidRPr="00A863F8">
        <w:rPr>
          <w:lang w:eastAsia="fr-FR"/>
        </w:rPr>
        <w:t>Dépenses de fonctionnement (hors masse salariale)</w:t>
      </w:r>
      <w:bookmarkEnd w:id="6"/>
    </w:p>
    <w:p w14:paraId="164610F9" w14:textId="67CE8D52" w:rsidR="00EE4B67" w:rsidRPr="007D2DC4" w:rsidRDefault="00EE4B67" w:rsidP="00EE4B67">
      <w:pPr>
        <w:spacing w:after="120" w:line="240" w:lineRule="auto"/>
        <w:jc w:val="both"/>
        <w:rPr>
          <w:rFonts w:ascii="Calibri Light" w:eastAsia="Times New Roman" w:hAnsi="Calibri Light" w:cs="Calibri Light"/>
          <w:lang w:eastAsia="fr-FR"/>
        </w:rPr>
      </w:pPr>
      <w:r w:rsidRPr="007D2DC4">
        <w:rPr>
          <w:rFonts w:ascii="Calibri Light" w:eastAsia="Times New Roman" w:hAnsi="Calibri Light" w:cs="Calibri Light"/>
          <w:lang w:eastAsia="fr-FR"/>
        </w:rPr>
        <w:t>Les dépenses de fonctionnement de 202</w:t>
      </w:r>
      <w:r w:rsidR="00D032B3" w:rsidRPr="007D2DC4">
        <w:rPr>
          <w:rFonts w:ascii="Calibri Light" w:eastAsia="Times New Roman" w:hAnsi="Calibri Light" w:cs="Calibri Light"/>
          <w:lang w:eastAsia="fr-FR"/>
        </w:rPr>
        <w:t>5</w:t>
      </w:r>
      <w:r w:rsidRPr="007D2DC4">
        <w:rPr>
          <w:rFonts w:ascii="Calibri Light" w:eastAsia="Times New Roman" w:hAnsi="Calibri Light" w:cs="Calibri Light"/>
          <w:lang w:eastAsia="fr-FR"/>
        </w:rPr>
        <w:t xml:space="preserve"> s’élèvent à environ 1</w:t>
      </w:r>
      <w:r w:rsidR="007D2DC4" w:rsidRPr="007D2DC4">
        <w:rPr>
          <w:rFonts w:ascii="Calibri Light" w:eastAsia="Times New Roman" w:hAnsi="Calibri Light" w:cs="Calibri Light"/>
          <w:lang w:eastAsia="fr-FR"/>
        </w:rPr>
        <w:t>24</w:t>
      </w:r>
      <w:r w:rsidRPr="007D2DC4">
        <w:rPr>
          <w:rFonts w:ascii="Calibri Light" w:eastAsia="Times New Roman" w:hAnsi="Calibri Light" w:cs="Calibri Light"/>
          <w:lang w:eastAsia="fr-FR"/>
        </w:rPr>
        <w:t> K</w:t>
      </w:r>
      <w:r w:rsidR="00E62BC7" w:rsidRPr="007D2DC4">
        <w:rPr>
          <w:rFonts w:ascii="Calibri Light" w:eastAsia="Times New Roman" w:hAnsi="Calibri Light" w:cs="Calibri Light"/>
          <w:lang w:eastAsia="fr-FR"/>
        </w:rPr>
        <w:t xml:space="preserve"> </w:t>
      </w:r>
      <w:r w:rsidRPr="007D2DC4">
        <w:rPr>
          <w:rFonts w:ascii="Calibri Light" w:eastAsia="Times New Roman" w:hAnsi="Calibri Light" w:cs="Calibri Light"/>
          <w:lang w:eastAsia="fr-FR"/>
        </w:rPr>
        <w:t xml:space="preserve">€. </w:t>
      </w:r>
      <w:r w:rsidR="007D2DC4" w:rsidRPr="007D2DC4">
        <w:rPr>
          <w:rFonts w:ascii="Calibri Light" w:eastAsia="Times New Roman" w:hAnsi="Calibri Light" w:cs="Calibri Light"/>
          <w:lang w:eastAsia="fr-FR"/>
        </w:rPr>
        <w:t>Hors subvention attribuées aux associations.</w:t>
      </w:r>
    </w:p>
    <w:p w14:paraId="7B2F6979" w14:textId="77777777" w:rsidR="00F03756" w:rsidRDefault="00137B91" w:rsidP="00EE4B67">
      <w:pPr>
        <w:spacing w:after="120" w:line="240" w:lineRule="auto"/>
        <w:jc w:val="both"/>
        <w:rPr>
          <w:rFonts w:ascii="Calibri Light" w:eastAsia="Times New Roman" w:hAnsi="Calibri Light" w:cs="Calibri Light"/>
          <w:lang w:eastAsia="fr-FR"/>
        </w:rPr>
      </w:pPr>
      <w:r>
        <w:rPr>
          <w:rFonts w:ascii="Calibri Light" w:eastAsia="Times New Roman" w:hAnsi="Calibri Light" w:cs="Calibri Light"/>
          <w:lang w:eastAsia="fr-FR"/>
        </w:rPr>
        <w:t xml:space="preserve">Le </w:t>
      </w:r>
      <w:r w:rsidR="00EE4B67" w:rsidRPr="00FB5804">
        <w:rPr>
          <w:rFonts w:ascii="Calibri Light" w:eastAsia="Times New Roman" w:hAnsi="Calibri Light" w:cs="Calibri Light"/>
          <w:lang w:eastAsia="fr-FR"/>
        </w:rPr>
        <w:t>coût des énergies</w:t>
      </w:r>
      <w:r w:rsidR="00AE2B60">
        <w:rPr>
          <w:rFonts w:ascii="Calibri Light" w:eastAsia="Times New Roman" w:hAnsi="Calibri Light" w:cs="Calibri Light"/>
          <w:lang w:eastAsia="fr-FR"/>
        </w:rPr>
        <w:t xml:space="preserve"> pour l’année 2025 s’élèveront à 16</w:t>
      </w:r>
      <w:r w:rsidR="00BF700A">
        <w:rPr>
          <w:rFonts w:ascii="Calibri Light" w:eastAsia="Times New Roman" w:hAnsi="Calibri Light" w:cs="Calibri Light"/>
          <w:lang w:eastAsia="fr-FR"/>
        </w:rPr>
        <w:t> </w:t>
      </w:r>
      <w:r w:rsidR="00AE2B60">
        <w:rPr>
          <w:rFonts w:ascii="Calibri Light" w:eastAsia="Times New Roman" w:hAnsi="Calibri Light" w:cs="Calibri Light"/>
          <w:lang w:eastAsia="fr-FR"/>
        </w:rPr>
        <w:t>570</w:t>
      </w:r>
      <w:r w:rsidR="00BF700A">
        <w:rPr>
          <w:rFonts w:ascii="Calibri Light" w:eastAsia="Times New Roman" w:hAnsi="Calibri Light" w:cs="Calibri Light"/>
          <w:lang w:eastAsia="fr-FR"/>
        </w:rPr>
        <w:t xml:space="preserve"> </w:t>
      </w:r>
      <w:r w:rsidR="00AE2B60">
        <w:rPr>
          <w:rFonts w:ascii="Calibri Light" w:eastAsia="Times New Roman" w:hAnsi="Calibri Light" w:cs="Calibri Light"/>
          <w:lang w:eastAsia="fr-FR"/>
        </w:rPr>
        <w:t xml:space="preserve">€ selon les estimatifs fournis. </w:t>
      </w:r>
    </w:p>
    <w:p w14:paraId="56B30293" w14:textId="0AA1C5D6" w:rsidR="00CC33BA" w:rsidRPr="00FB5804" w:rsidRDefault="00EE4B67" w:rsidP="00EE4B67">
      <w:pPr>
        <w:spacing w:after="120" w:line="240" w:lineRule="auto"/>
        <w:jc w:val="both"/>
        <w:rPr>
          <w:rFonts w:ascii="Calibri Light" w:eastAsia="Times New Roman" w:hAnsi="Calibri Light" w:cs="Calibri Light"/>
          <w:lang w:eastAsia="fr-FR"/>
        </w:rPr>
      </w:pPr>
      <w:r w:rsidRPr="00FB5804">
        <w:rPr>
          <w:rFonts w:ascii="Calibri Light" w:eastAsia="Times New Roman" w:hAnsi="Calibri Light" w:cs="Calibri Light"/>
          <w:lang w:eastAsia="fr-FR"/>
        </w:rPr>
        <w:t xml:space="preserve">D’autres postes sont en </w:t>
      </w:r>
      <w:r w:rsidR="004C191B" w:rsidRPr="00FB5804">
        <w:rPr>
          <w:rFonts w:ascii="Calibri Light" w:eastAsia="Times New Roman" w:hAnsi="Calibri Light" w:cs="Calibri Light"/>
          <w:lang w:eastAsia="fr-FR"/>
        </w:rPr>
        <w:t>hausse</w:t>
      </w:r>
      <w:r w:rsidRPr="00FB5804">
        <w:rPr>
          <w:rFonts w:ascii="Calibri Light" w:eastAsia="Times New Roman" w:hAnsi="Calibri Light" w:cs="Calibri Light"/>
          <w:lang w:eastAsia="fr-FR"/>
        </w:rPr>
        <w:t xml:space="preserve"> comme l’alimentation</w:t>
      </w:r>
      <w:r w:rsidR="00490D19">
        <w:rPr>
          <w:rFonts w:ascii="Calibri Light" w:eastAsia="Times New Roman" w:hAnsi="Calibri Light" w:cs="Calibri Light"/>
          <w:lang w:eastAsia="fr-FR"/>
        </w:rPr>
        <w:t xml:space="preserve">. </w:t>
      </w:r>
    </w:p>
    <w:p w14:paraId="1B26161C" w14:textId="27893984" w:rsidR="00EE4B67" w:rsidRPr="00FB5804" w:rsidRDefault="00645ACF" w:rsidP="00EE4B67">
      <w:pPr>
        <w:spacing w:after="120" w:line="240" w:lineRule="auto"/>
        <w:jc w:val="both"/>
        <w:rPr>
          <w:rFonts w:ascii="Calibri Light" w:eastAsia="Times New Roman" w:hAnsi="Calibri Light" w:cs="Calibri Light"/>
          <w:strike/>
          <w:lang w:eastAsia="fr-FR"/>
        </w:rPr>
      </w:pPr>
      <w:r w:rsidRPr="00FB5804">
        <w:rPr>
          <w:rFonts w:ascii="Calibri Light" w:eastAsia="Times New Roman" w:hAnsi="Calibri Light" w:cs="Calibri Light"/>
          <w:lang w:eastAsia="fr-FR"/>
        </w:rPr>
        <w:t xml:space="preserve">On constate </w:t>
      </w:r>
      <w:r w:rsidR="00D032B3" w:rsidRPr="00FB5804">
        <w:rPr>
          <w:rFonts w:ascii="Calibri Light" w:eastAsia="Times New Roman" w:hAnsi="Calibri Light" w:cs="Calibri Light"/>
          <w:lang w:eastAsia="fr-FR"/>
        </w:rPr>
        <w:t>de nouveau</w:t>
      </w:r>
      <w:r w:rsidRPr="00FB5804">
        <w:rPr>
          <w:rFonts w:ascii="Calibri Light" w:eastAsia="Times New Roman" w:hAnsi="Calibri Light" w:cs="Calibri Light"/>
          <w:lang w:eastAsia="fr-FR"/>
        </w:rPr>
        <w:t xml:space="preserve"> une h</w:t>
      </w:r>
      <w:r w:rsidR="00CC33BA" w:rsidRPr="00FB5804">
        <w:rPr>
          <w:rFonts w:ascii="Calibri Light" w:eastAsia="Times New Roman" w:hAnsi="Calibri Light" w:cs="Calibri Light"/>
          <w:lang w:eastAsia="fr-FR"/>
        </w:rPr>
        <w:t>ausse du t</w:t>
      </w:r>
      <w:r w:rsidR="00EE4B67" w:rsidRPr="00FB5804">
        <w:rPr>
          <w:rFonts w:ascii="Calibri Light" w:eastAsia="Times New Roman" w:hAnsi="Calibri Light" w:cs="Calibri Light"/>
          <w:lang w:eastAsia="fr-FR"/>
        </w:rPr>
        <w:t xml:space="preserve">raiteur pour le repas des aînés : </w:t>
      </w:r>
      <w:r w:rsidR="00FB5804">
        <w:rPr>
          <w:rFonts w:ascii="Calibri Light" w:eastAsia="Times New Roman" w:hAnsi="Calibri Light" w:cs="Calibri Light"/>
          <w:lang w:eastAsia="fr-FR"/>
        </w:rPr>
        <w:t>9</w:t>
      </w:r>
      <w:r w:rsidR="00BF700A">
        <w:rPr>
          <w:rFonts w:ascii="Calibri Light" w:eastAsia="Times New Roman" w:hAnsi="Calibri Light" w:cs="Calibri Light"/>
          <w:lang w:eastAsia="fr-FR"/>
        </w:rPr>
        <w:t> </w:t>
      </w:r>
      <w:r w:rsidR="00FB5804">
        <w:rPr>
          <w:rFonts w:ascii="Calibri Light" w:eastAsia="Times New Roman" w:hAnsi="Calibri Light" w:cs="Calibri Light"/>
          <w:lang w:eastAsia="fr-FR"/>
        </w:rPr>
        <w:t>500</w:t>
      </w:r>
      <w:r w:rsidR="00BF700A">
        <w:rPr>
          <w:rFonts w:ascii="Calibri Light" w:eastAsia="Times New Roman" w:hAnsi="Calibri Light" w:cs="Calibri Light"/>
          <w:lang w:eastAsia="fr-FR"/>
        </w:rPr>
        <w:t xml:space="preserve"> </w:t>
      </w:r>
      <w:r w:rsidR="00A713C8" w:rsidRPr="00FB5804">
        <w:rPr>
          <w:rFonts w:ascii="Calibri Light" w:eastAsia="Times New Roman" w:hAnsi="Calibri Light" w:cs="Calibri Light"/>
          <w:lang w:eastAsia="fr-FR"/>
        </w:rPr>
        <w:t xml:space="preserve">€ en 2025, contre </w:t>
      </w:r>
      <w:r w:rsidR="00EE4B67" w:rsidRPr="00FB5804">
        <w:rPr>
          <w:rFonts w:ascii="Calibri Light" w:eastAsia="Times New Roman" w:hAnsi="Calibri Light" w:cs="Calibri Light"/>
          <w:lang w:eastAsia="fr-FR"/>
        </w:rPr>
        <w:t>8</w:t>
      </w:r>
      <w:r w:rsidR="00BF700A">
        <w:rPr>
          <w:rFonts w:ascii="Calibri Light" w:eastAsia="Times New Roman" w:hAnsi="Calibri Light" w:cs="Calibri Light"/>
          <w:lang w:eastAsia="fr-FR"/>
        </w:rPr>
        <w:t> </w:t>
      </w:r>
      <w:r w:rsidR="00EE4B67" w:rsidRPr="00FB5804">
        <w:rPr>
          <w:rFonts w:ascii="Calibri Light" w:eastAsia="Times New Roman" w:hAnsi="Calibri Light" w:cs="Calibri Light"/>
          <w:lang w:eastAsia="fr-FR"/>
        </w:rPr>
        <w:t>500</w:t>
      </w:r>
      <w:r w:rsidR="00BF700A">
        <w:rPr>
          <w:rFonts w:ascii="Calibri Light" w:eastAsia="Times New Roman" w:hAnsi="Calibri Light" w:cs="Calibri Light"/>
          <w:lang w:eastAsia="fr-FR"/>
        </w:rPr>
        <w:t xml:space="preserve"> </w:t>
      </w:r>
      <w:r w:rsidR="00EE4B67" w:rsidRPr="00FB5804">
        <w:rPr>
          <w:rFonts w:ascii="Calibri Light" w:eastAsia="Times New Roman" w:hAnsi="Calibri Light" w:cs="Calibri Light"/>
          <w:lang w:eastAsia="fr-FR"/>
        </w:rPr>
        <w:t>€ en 202</w:t>
      </w:r>
      <w:r w:rsidR="007D5345" w:rsidRPr="00FB5804">
        <w:rPr>
          <w:rFonts w:ascii="Calibri Light" w:eastAsia="Times New Roman" w:hAnsi="Calibri Light" w:cs="Calibri Light"/>
          <w:lang w:eastAsia="fr-FR"/>
        </w:rPr>
        <w:t>4</w:t>
      </w:r>
      <w:r w:rsidRPr="00FB5804">
        <w:rPr>
          <w:rFonts w:ascii="Calibri Light" w:eastAsia="Times New Roman" w:hAnsi="Calibri Light" w:cs="Calibri Light"/>
          <w:lang w:eastAsia="fr-FR"/>
        </w:rPr>
        <w:t>, du fait de l’augmentation du nombre de bénéficiaires</w:t>
      </w:r>
      <w:r w:rsidR="00125C35">
        <w:rPr>
          <w:rFonts w:ascii="Calibri Light" w:eastAsia="Times New Roman" w:hAnsi="Calibri Light" w:cs="Calibri Light"/>
          <w:lang w:eastAsia="fr-FR"/>
        </w:rPr>
        <w:t>, une centaine en plus</w:t>
      </w:r>
      <w:r w:rsidR="00EE4B67" w:rsidRPr="00FB5804">
        <w:rPr>
          <w:rFonts w:ascii="Calibri Light" w:eastAsia="Times New Roman" w:hAnsi="Calibri Light" w:cs="Calibri Light"/>
          <w:lang w:eastAsia="fr-FR"/>
        </w:rPr>
        <w:t xml:space="preserve">. </w:t>
      </w:r>
    </w:p>
    <w:p w14:paraId="355CB72E" w14:textId="485FD597" w:rsidR="00053756" w:rsidRDefault="003F763E" w:rsidP="00EE4B67">
      <w:pPr>
        <w:spacing w:after="120" w:line="240" w:lineRule="auto"/>
        <w:jc w:val="both"/>
        <w:rPr>
          <w:rFonts w:ascii="Calibri Light" w:eastAsia="Times New Roman" w:hAnsi="Calibri Light" w:cs="Calibri Light"/>
          <w:lang w:eastAsia="fr-FR"/>
        </w:rPr>
      </w:pPr>
      <w:r w:rsidRPr="00794D10">
        <w:rPr>
          <w:rFonts w:ascii="Calibri Light" w:eastAsia="Times New Roman" w:hAnsi="Calibri Light" w:cs="Calibri Light"/>
          <w:lang w:eastAsia="fr-FR"/>
        </w:rPr>
        <w:t>L</w:t>
      </w:r>
      <w:r w:rsidR="00053756" w:rsidRPr="00794D10">
        <w:rPr>
          <w:rFonts w:ascii="Calibri Light" w:eastAsia="Times New Roman" w:hAnsi="Calibri Light" w:cs="Calibri Light"/>
          <w:lang w:eastAsia="fr-FR"/>
        </w:rPr>
        <w:t xml:space="preserve">es besoins sociaux en augmentation ne se traduisent pas </w:t>
      </w:r>
      <w:r w:rsidRPr="00794D10">
        <w:rPr>
          <w:rFonts w:ascii="Calibri Light" w:eastAsia="Times New Roman" w:hAnsi="Calibri Light" w:cs="Calibri Light"/>
          <w:lang w:eastAsia="fr-FR"/>
        </w:rPr>
        <w:t>nécessaire</w:t>
      </w:r>
      <w:r w:rsidR="00D62216" w:rsidRPr="00794D10">
        <w:rPr>
          <w:rFonts w:ascii="Calibri Light" w:eastAsia="Times New Roman" w:hAnsi="Calibri Light" w:cs="Calibri Light"/>
          <w:lang w:eastAsia="fr-FR"/>
        </w:rPr>
        <w:t>ment</w:t>
      </w:r>
      <w:r w:rsidRPr="00794D10">
        <w:rPr>
          <w:rFonts w:ascii="Calibri Light" w:eastAsia="Times New Roman" w:hAnsi="Calibri Light" w:cs="Calibri Light"/>
          <w:lang w:eastAsia="fr-FR"/>
        </w:rPr>
        <w:t xml:space="preserve"> </w:t>
      </w:r>
      <w:r w:rsidR="00053756" w:rsidRPr="00794D10">
        <w:rPr>
          <w:rFonts w:ascii="Calibri Light" w:eastAsia="Times New Roman" w:hAnsi="Calibri Light" w:cs="Calibri Light"/>
          <w:lang w:eastAsia="fr-FR"/>
        </w:rPr>
        <w:t>par une hausse des aides demandées</w:t>
      </w:r>
      <w:r w:rsidRPr="00794D10">
        <w:rPr>
          <w:rFonts w:ascii="Calibri Light" w:eastAsia="Times New Roman" w:hAnsi="Calibri Light" w:cs="Calibri Light"/>
          <w:lang w:eastAsia="fr-FR"/>
        </w:rPr>
        <w:t xml:space="preserve"> : les budgets disponibles pour l’octroi des aides sociales ne sont pas systématiquement consommés. On constate malgré tout une augmentation du recours à l’aide pour le paiement de la cantine scolaire, organisée en lien avec le service gestionnaire, avec une dépense de </w:t>
      </w:r>
      <w:r w:rsidR="00A571B5" w:rsidRPr="00794D10">
        <w:rPr>
          <w:rFonts w:ascii="Calibri Light" w:eastAsia="Times New Roman" w:hAnsi="Calibri Light" w:cs="Calibri Light"/>
          <w:lang w:eastAsia="fr-FR"/>
        </w:rPr>
        <w:t>11 126</w:t>
      </w:r>
      <w:r w:rsidR="00046561" w:rsidRPr="00794D10">
        <w:rPr>
          <w:rFonts w:ascii="Calibri Light" w:eastAsia="Times New Roman" w:hAnsi="Calibri Light" w:cs="Calibri Light"/>
          <w:lang w:eastAsia="fr-FR"/>
        </w:rPr>
        <w:t xml:space="preserve"> </w:t>
      </w:r>
      <w:r w:rsidRPr="00794D10">
        <w:rPr>
          <w:rFonts w:ascii="Calibri Light" w:eastAsia="Times New Roman" w:hAnsi="Calibri Light" w:cs="Calibri Light"/>
          <w:lang w:eastAsia="fr-FR"/>
        </w:rPr>
        <w:t xml:space="preserve">€ </w:t>
      </w:r>
      <w:r w:rsidR="00046561" w:rsidRPr="00794D10">
        <w:rPr>
          <w:rFonts w:ascii="Calibri Light" w:eastAsia="Times New Roman" w:hAnsi="Calibri Light" w:cs="Calibri Light"/>
          <w:lang w:eastAsia="fr-FR"/>
        </w:rPr>
        <w:t>en 202</w:t>
      </w:r>
      <w:r w:rsidR="00A571B5" w:rsidRPr="00794D10">
        <w:rPr>
          <w:rFonts w:ascii="Calibri Light" w:eastAsia="Times New Roman" w:hAnsi="Calibri Light" w:cs="Calibri Light"/>
          <w:lang w:eastAsia="fr-FR"/>
        </w:rPr>
        <w:t>5 pour le 1</w:t>
      </w:r>
      <w:r w:rsidR="00A571B5" w:rsidRPr="00794D10">
        <w:rPr>
          <w:rFonts w:ascii="Calibri Light" w:eastAsia="Times New Roman" w:hAnsi="Calibri Light" w:cs="Calibri Light"/>
          <w:vertAlign w:val="superscript"/>
          <w:lang w:eastAsia="fr-FR"/>
        </w:rPr>
        <w:t>er</w:t>
      </w:r>
      <w:r w:rsidR="00A571B5" w:rsidRPr="00794D10">
        <w:rPr>
          <w:rFonts w:ascii="Calibri Light" w:eastAsia="Times New Roman" w:hAnsi="Calibri Light" w:cs="Calibri Light"/>
          <w:lang w:eastAsia="fr-FR"/>
        </w:rPr>
        <w:t xml:space="preserve"> semestre</w:t>
      </w:r>
      <w:r w:rsidR="00046561" w:rsidRPr="00794D10">
        <w:rPr>
          <w:rFonts w:ascii="Calibri Light" w:eastAsia="Times New Roman" w:hAnsi="Calibri Light" w:cs="Calibri Light"/>
          <w:lang w:eastAsia="fr-FR"/>
        </w:rPr>
        <w:t xml:space="preserve"> </w:t>
      </w:r>
      <w:r w:rsidRPr="00794D10">
        <w:rPr>
          <w:rFonts w:ascii="Calibri Light" w:eastAsia="Times New Roman" w:hAnsi="Calibri Light" w:cs="Calibri Light"/>
          <w:lang w:eastAsia="fr-FR"/>
        </w:rPr>
        <w:t xml:space="preserve">contre </w:t>
      </w:r>
      <w:r w:rsidR="00A571B5" w:rsidRPr="00794D10">
        <w:rPr>
          <w:rFonts w:ascii="Calibri Light" w:eastAsia="Times New Roman" w:hAnsi="Calibri Light" w:cs="Calibri Light"/>
          <w:lang w:eastAsia="fr-FR"/>
        </w:rPr>
        <w:t>14 165.40</w:t>
      </w:r>
      <w:r w:rsidR="00046561" w:rsidRPr="00794D10">
        <w:rPr>
          <w:rFonts w:ascii="Calibri Light" w:eastAsia="Times New Roman" w:hAnsi="Calibri Light" w:cs="Calibri Light"/>
          <w:lang w:eastAsia="fr-FR"/>
        </w:rPr>
        <w:t xml:space="preserve"> </w:t>
      </w:r>
      <w:r w:rsidRPr="00794D10">
        <w:rPr>
          <w:rFonts w:ascii="Calibri Light" w:eastAsia="Times New Roman" w:hAnsi="Calibri Light" w:cs="Calibri Light"/>
          <w:lang w:eastAsia="fr-FR"/>
        </w:rPr>
        <w:t xml:space="preserve">€ en </w:t>
      </w:r>
      <w:r w:rsidR="00A571B5" w:rsidRPr="00794D10">
        <w:rPr>
          <w:rFonts w:ascii="Calibri Light" w:eastAsia="Times New Roman" w:hAnsi="Calibri Light" w:cs="Calibri Light"/>
          <w:lang w:eastAsia="fr-FR"/>
        </w:rPr>
        <w:t xml:space="preserve">année pleine en </w:t>
      </w:r>
      <w:r w:rsidRPr="00794D10">
        <w:rPr>
          <w:rFonts w:ascii="Calibri Light" w:eastAsia="Times New Roman" w:hAnsi="Calibri Light" w:cs="Calibri Light"/>
          <w:lang w:eastAsia="fr-FR"/>
        </w:rPr>
        <w:t>202</w:t>
      </w:r>
      <w:r w:rsidR="00A571B5" w:rsidRPr="00794D10">
        <w:rPr>
          <w:rFonts w:ascii="Calibri Light" w:eastAsia="Times New Roman" w:hAnsi="Calibri Light" w:cs="Calibri Light"/>
          <w:lang w:eastAsia="fr-FR"/>
        </w:rPr>
        <w:t>4.</w:t>
      </w:r>
    </w:p>
    <w:p w14:paraId="57039C42" w14:textId="0171EDBA" w:rsidR="00952BDF" w:rsidRPr="00EE4B67" w:rsidRDefault="003F763E" w:rsidP="0059274D">
      <w:pPr>
        <w:spacing w:after="120" w:line="240" w:lineRule="auto"/>
        <w:jc w:val="both"/>
        <w:rPr>
          <w:rFonts w:ascii="Calibri Light" w:eastAsia="Times New Roman" w:hAnsi="Calibri Light" w:cs="Calibri Light"/>
          <w:lang w:eastAsia="fr-FR"/>
        </w:rPr>
      </w:pPr>
      <w:r w:rsidRPr="00794D10">
        <w:rPr>
          <w:rFonts w:ascii="Calibri Light" w:eastAsia="Times New Roman" w:hAnsi="Calibri Light" w:cs="Calibri Light"/>
          <w:lang w:eastAsia="fr-FR"/>
        </w:rPr>
        <w:t>Les subventions aux associations s’élèvent à</w:t>
      </w:r>
      <w:r w:rsidR="00F03756">
        <w:rPr>
          <w:rFonts w:ascii="Calibri Light" w:eastAsia="Times New Roman" w:hAnsi="Calibri Light" w:cs="Calibri Light"/>
          <w:lang w:eastAsia="fr-FR"/>
        </w:rPr>
        <w:t xml:space="preserve"> ce jour</w:t>
      </w:r>
      <w:r w:rsidRPr="00794D10">
        <w:rPr>
          <w:rFonts w:ascii="Calibri Light" w:eastAsia="Times New Roman" w:hAnsi="Calibri Light" w:cs="Calibri Light"/>
          <w:lang w:eastAsia="fr-FR"/>
        </w:rPr>
        <w:t xml:space="preserve"> </w:t>
      </w:r>
      <w:r w:rsidR="00794D10" w:rsidRPr="00794D10">
        <w:rPr>
          <w:rFonts w:ascii="Calibri Light" w:eastAsia="Times New Roman" w:hAnsi="Calibri Light" w:cs="Calibri Light"/>
          <w:lang w:eastAsia="fr-FR"/>
        </w:rPr>
        <w:t>55 990</w:t>
      </w:r>
      <w:r w:rsidR="00E62BC7" w:rsidRPr="00794D10">
        <w:rPr>
          <w:rFonts w:ascii="Calibri Light" w:eastAsia="Times New Roman" w:hAnsi="Calibri Light" w:cs="Calibri Light"/>
          <w:lang w:eastAsia="fr-FR"/>
        </w:rPr>
        <w:t xml:space="preserve"> </w:t>
      </w:r>
      <w:r w:rsidRPr="00794D10">
        <w:rPr>
          <w:rFonts w:ascii="Calibri Light" w:eastAsia="Times New Roman" w:hAnsi="Calibri Light" w:cs="Calibri Light"/>
          <w:lang w:eastAsia="fr-FR"/>
        </w:rPr>
        <w:t xml:space="preserve">€ </w:t>
      </w:r>
      <w:r w:rsidR="00794D10" w:rsidRPr="00794D10">
        <w:rPr>
          <w:rFonts w:ascii="Calibri Light" w:eastAsia="Times New Roman" w:hAnsi="Calibri Light" w:cs="Calibri Light"/>
          <w:lang w:eastAsia="fr-FR"/>
        </w:rPr>
        <w:t>pour 2025 comme voté en Conseil d’Administration.</w:t>
      </w:r>
      <w:r w:rsidR="00794D10" w:rsidRPr="00EE4B67">
        <w:rPr>
          <w:rFonts w:ascii="Calibri Light" w:eastAsia="Times New Roman" w:hAnsi="Calibri Light" w:cs="Calibri Light"/>
          <w:lang w:eastAsia="fr-FR"/>
        </w:rPr>
        <w:t xml:space="preserve"> </w:t>
      </w:r>
      <w:r w:rsidR="00F03756">
        <w:rPr>
          <w:rFonts w:ascii="Calibri Light" w:eastAsia="Times New Roman" w:hAnsi="Calibri Light" w:cs="Calibri Light"/>
          <w:lang w:eastAsia="fr-FR"/>
        </w:rPr>
        <w:t xml:space="preserve">Une subvention complémentaire est proposée au vote du CA de novembre 2025. </w:t>
      </w:r>
    </w:p>
    <w:p w14:paraId="7C62F5AA" w14:textId="77777777" w:rsidR="00AF7B76" w:rsidRPr="00246FD4" w:rsidRDefault="00AF7B76" w:rsidP="00AF7B76">
      <w:pPr>
        <w:spacing w:after="120" w:line="240" w:lineRule="auto"/>
        <w:jc w:val="both"/>
        <w:rPr>
          <w:rFonts w:ascii="Calibri Light" w:eastAsia="Times New Roman" w:hAnsi="Calibri Light" w:cs="Calibri Light"/>
          <w:highlight w:val="yellow"/>
          <w:lang w:eastAsia="fr-FR"/>
        </w:rPr>
      </w:pPr>
    </w:p>
    <w:p w14:paraId="1A9FECB3" w14:textId="0AB25E19" w:rsidR="008C41D1" w:rsidRDefault="00EE4B67" w:rsidP="00EE4B67">
      <w:pPr>
        <w:pStyle w:val="Titre3"/>
        <w:rPr>
          <w:lang w:eastAsia="fr-FR"/>
        </w:rPr>
      </w:pPr>
      <w:bookmarkStart w:id="7" w:name="_Toc213853352"/>
      <w:bookmarkStart w:id="8" w:name="_Hlk157697135"/>
      <w:r>
        <w:rPr>
          <w:lang w:eastAsia="fr-FR"/>
        </w:rPr>
        <w:t>D</w:t>
      </w:r>
      <w:r w:rsidR="00024E5A">
        <w:rPr>
          <w:lang w:eastAsia="fr-FR"/>
        </w:rPr>
        <w:t>épenses de personnel</w:t>
      </w:r>
      <w:bookmarkEnd w:id="7"/>
    </w:p>
    <w:p w14:paraId="39B5C99D" w14:textId="4A069A94" w:rsidR="008F5D70" w:rsidRDefault="002771AB" w:rsidP="00053756">
      <w:pPr>
        <w:spacing w:line="240" w:lineRule="auto"/>
        <w:jc w:val="both"/>
        <w:rPr>
          <w:rFonts w:ascii="Calibri Light" w:eastAsia="Times New Roman" w:hAnsi="Calibri Light" w:cs="Calibri Light"/>
          <w:lang w:eastAsia="fr-FR"/>
        </w:rPr>
      </w:pPr>
      <w:r w:rsidRPr="008F5D70">
        <w:rPr>
          <w:rFonts w:ascii="Calibri Light" w:eastAsia="Times New Roman" w:hAnsi="Calibri Light" w:cs="Calibri Light"/>
          <w:lang w:eastAsia="fr-FR"/>
        </w:rPr>
        <w:t>La clôture de l’exercice 20</w:t>
      </w:r>
      <w:r w:rsidR="001B4053" w:rsidRPr="008F5D70">
        <w:rPr>
          <w:rFonts w:ascii="Calibri Light" w:eastAsia="Times New Roman" w:hAnsi="Calibri Light" w:cs="Calibri Light"/>
          <w:lang w:eastAsia="fr-FR"/>
        </w:rPr>
        <w:t>2</w:t>
      </w:r>
      <w:r w:rsidR="00A713C8" w:rsidRPr="008F5D70">
        <w:rPr>
          <w:rFonts w:ascii="Calibri Light" w:eastAsia="Times New Roman" w:hAnsi="Calibri Light" w:cs="Calibri Light"/>
          <w:lang w:eastAsia="fr-FR"/>
        </w:rPr>
        <w:t>5</w:t>
      </w:r>
      <w:r w:rsidRPr="008F5D70">
        <w:rPr>
          <w:rFonts w:ascii="Calibri Light" w:eastAsia="Times New Roman" w:hAnsi="Calibri Light" w:cs="Calibri Light"/>
          <w:lang w:eastAsia="fr-FR"/>
        </w:rPr>
        <w:t xml:space="preserve"> porte</w:t>
      </w:r>
      <w:r w:rsidR="00A713C8" w:rsidRPr="008F5D70">
        <w:rPr>
          <w:rFonts w:ascii="Calibri Light" w:eastAsia="Times New Roman" w:hAnsi="Calibri Light" w:cs="Calibri Light"/>
          <w:lang w:eastAsia="fr-FR"/>
        </w:rPr>
        <w:t>rait</w:t>
      </w:r>
      <w:r w:rsidRPr="008F5D70">
        <w:rPr>
          <w:rFonts w:ascii="Calibri Light" w:eastAsia="Times New Roman" w:hAnsi="Calibri Light" w:cs="Calibri Light"/>
          <w:lang w:eastAsia="fr-FR"/>
        </w:rPr>
        <w:t xml:space="preserve"> les charges </w:t>
      </w:r>
      <w:r w:rsidR="008F5D70" w:rsidRPr="008F5D70">
        <w:rPr>
          <w:rFonts w:ascii="Calibri Light" w:eastAsia="Times New Roman" w:hAnsi="Calibri Light" w:cs="Calibri Light"/>
          <w:lang w:eastAsia="fr-FR"/>
        </w:rPr>
        <w:t xml:space="preserve">totales </w:t>
      </w:r>
      <w:r w:rsidRPr="008F5D70">
        <w:rPr>
          <w:rFonts w:ascii="Calibri Light" w:eastAsia="Times New Roman" w:hAnsi="Calibri Light" w:cs="Calibri Light"/>
          <w:lang w:eastAsia="fr-FR"/>
        </w:rPr>
        <w:t xml:space="preserve">de personnel </w:t>
      </w:r>
      <w:r w:rsidR="0056493C" w:rsidRPr="008F5D70">
        <w:rPr>
          <w:rFonts w:ascii="Calibri Light" w:eastAsia="Times New Roman" w:hAnsi="Calibri Light" w:cs="Calibri Light"/>
          <w:lang w:eastAsia="fr-FR"/>
        </w:rPr>
        <w:t xml:space="preserve">à </w:t>
      </w:r>
      <w:r w:rsidR="008F5D70" w:rsidRPr="008F5D70">
        <w:rPr>
          <w:rFonts w:ascii="Calibri Light" w:eastAsia="Times New Roman" w:hAnsi="Calibri Light" w:cs="Calibri Light"/>
          <w:lang w:eastAsia="fr-FR"/>
        </w:rPr>
        <w:t>470 770€.</w:t>
      </w:r>
      <w:bookmarkStart w:id="9" w:name="_Hlk157697269"/>
      <w:r w:rsidR="000E75F2">
        <w:rPr>
          <w:rFonts w:ascii="Calibri Light" w:eastAsia="Times New Roman" w:hAnsi="Calibri Light" w:cs="Calibri Light"/>
          <w:lang w:eastAsia="fr-FR"/>
        </w:rPr>
        <w:t xml:space="preserve"> </w:t>
      </w:r>
      <w:r w:rsidR="00CA3A81" w:rsidRPr="008F5D70">
        <w:rPr>
          <w:rFonts w:ascii="Calibri Light" w:eastAsia="Times New Roman" w:hAnsi="Calibri Light" w:cs="Calibri Light"/>
          <w:lang w:eastAsia="fr-FR"/>
        </w:rPr>
        <w:t xml:space="preserve">Elles sont </w:t>
      </w:r>
      <w:r w:rsidR="00F03756">
        <w:rPr>
          <w:rFonts w:ascii="Calibri Light" w:eastAsia="Times New Roman" w:hAnsi="Calibri Light" w:cs="Calibri Light"/>
          <w:lang w:eastAsia="fr-FR"/>
        </w:rPr>
        <w:t>ainsi</w:t>
      </w:r>
      <w:r w:rsidR="00CA3A81" w:rsidRPr="008F5D70">
        <w:rPr>
          <w:rFonts w:ascii="Calibri Light" w:eastAsia="Times New Roman" w:hAnsi="Calibri Light" w:cs="Calibri Light"/>
          <w:lang w:eastAsia="fr-FR"/>
        </w:rPr>
        <w:t xml:space="preserve"> inférieures aux prévisions du budget primitif qui s’établissaient à </w:t>
      </w:r>
      <w:r w:rsidR="00380FE7" w:rsidRPr="008F5D70">
        <w:rPr>
          <w:rFonts w:ascii="Calibri Light" w:eastAsia="Times New Roman" w:hAnsi="Calibri Light" w:cs="Calibri Light"/>
          <w:lang w:eastAsia="fr-FR"/>
        </w:rPr>
        <w:t>521</w:t>
      </w:r>
      <w:r w:rsidR="00560E60" w:rsidRPr="008F5D70">
        <w:rPr>
          <w:rFonts w:ascii="Calibri Light" w:eastAsia="Times New Roman" w:hAnsi="Calibri Light" w:cs="Calibri Light"/>
          <w:lang w:eastAsia="fr-FR"/>
        </w:rPr>
        <w:t> </w:t>
      </w:r>
      <w:r w:rsidR="00380FE7" w:rsidRPr="008F5D70">
        <w:rPr>
          <w:rFonts w:ascii="Calibri Light" w:eastAsia="Times New Roman" w:hAnsi="Calibri Light" w:cs="Calibri Light"/>
          <w:lang w:eastAsia="fr-FR"/>
        </w:rPr>
        <w:t>569</w:t>
      </w:r>
      <w:r w:rsidR="00560E60" w:rsidRPr="008F5D70">
        <w:rPr>
          <w:rFonts w:ascii="Calibri Light" w:eastAsia="Times New Roman" w:hAnsi="Calibri Light" w:cs="Calibri Light"/>
          <w:lang w:eastAsia="fr-FR"/>
        </w:rPr>
        <w:t xml:space="preserve"> </w:t>
      </w:r>
      <w:r w:rsidR="00CA3A81" w:rsidRPr="008F5D70">
        <w:rPr>
          <w:rFonts w:ascii="Calibri Light" w:eastAsia="Times New Roman" w:hAnsi="Calibri Light" w:cs="Calibri Light"/>
          <w:lang w:eastAsia="fr-FR"/>
        </w:rPr>
        <w:t>€.</w:t>
      </w:r>
    </w:p>
    <w:tbl>
      <w:tblPr>
        <w:tblStyle w:val="Grilledutableau"/>
        <w:tblW w:w="0" w:type="auto"/>
        <w:tblLook w:val="04A0" w:firstRow="1" w:lastRow="0" w:firstColumn="1" w:lastColumn="0" w:noHBand="0" w:noVBand="1"/>
      </w:tblPr>
      <w:tblGrid>
        <w:gridCol w:w="4106"/>
        <w:gridCol w:w="1843"/>
        <w:gridCol w:w="3679"/>
      </w:tblGrid>
      <w:tr w:rsidR="008F5D70" w14:paraId="695A0432" w14:textId="77777777" w:rsidTr="008F5D70">
        <w:tc>
          <w:tcPr>
            <w:tcW w:w="4106" w:type="dxa"/>
          </w:tcPr>
          <w:p w14:paraId="3C12389F" w14:textId="78BE3405" w:rsidR="008F5D70" w:rsidRDefault="008F5D70" w:rsidP="00053756">
            <w:pPr>
              <w:jc w:val="both"/>
              <w:rPr>
                <w:rFonts w:ascii="Calibri Light" w:eastAsia="Times New Roman" w:hAnsi="Calibri Light" w:cs="Calibri Light"/>
                <w:lang w:eastAsia="fr-FR"/>
              </w:rPr>
            </w:pPr>
          </w:p>
        </w:tc>
        <w:tc>
          <w:tcPr>
            <w:tcW w:w="1843" w:type="dxa"/>
          </w:tcPr>
          <w:p w14:paraId="221308C0" w14:textId="6ECA646B" w:rsidR="008F5D70" w:rsidRDefault="008F5D70" w:rsidP="00121550">
            <w:pPr>
              <w:jc w:val="center"/>
              <w:rPr>
                <w:rFonts w:ascii="Calibri Light" w:eastAsia="Times New Roman" w:hAnsi="Calibri Light" w:cs="Calibri Light"/>
                <w:lang w:eastAsia="fr-FR"/>
              </w:rPr>
            </w:pPr>
            <w:r>
              <w:rPr>
                <w:rFonts w:ascii="Calibri Light" w:eastAsia="Times New Roman" w:hAnsi="Calibri Light" w:cs="Calibri Light"/>
                <w:lang w:eastAsia="fr-FR"/>
              </w:rPr>
              <w:t>ETP/Année</w:t>
            </w:r>
          </w:p>
        </w:tc>
        <w:tc>
          <w:tcPr>
            <w:tcW w:w="3679" w:type="dxa"/>
          </w:tcPr>
          <w:p w14:paraId="4F43712F" w14:textId="1978B0DD" w:rsidR="008F5D70" w:rsidRDefault="008F5D70" w:rsidP="00121550">
            <w:pPr>
              <w:jc w:val="center"/>
              <w:rPr>
                <w:rFonts w:ascii="Calibri Light" w:eastAsia="Times New Roman" w:hAnsi="Calibri Light" w:cs="Calibri Light"/>
                <w:lang w:eastAsia="fr-FR"/>
              </w:rPr>
            </w:pPr>
            <w:r>
              <w:rPr>
                <w:rFonts w:ascii="Calibri Light" w:eastAsia="Times New Roman" w:hAnsi="Calibri Light" w:cs="Calibri Light"/>
                <w:lang w:eastAsia="fr-FR"/>
              </w:rPr>
              <w:t>Masse salariale</w:t>
            </w:r>
          </w:p>
        </w:tc>
      </w:tr>
      <w:tr w:rsidR="008F5D70" w14:paraId="6CF37ECA" w14:textId="77777777" w:rsidTr="008F5D70">
        <w:tc>
          <w:tcPr>
            <w:tcW w:w="4106" w:type="dxa"/>
          </w:tcPr>
          <w:p w14:paraId="05076217" w14:textId="33DEAE5C" w:rsidR="008F5D70" w:rsidRDefault="008F5D70" w:rsidP="00053756">
            <w:pPr>
              <w:jc w:val="both"/>
              <w:rPr>
                <w:rFonts w:ascii="Calibri Light" w:eastAsia="Times New Roman" w:hAnsi="Calibri Light" w:cs="Calibri Light"/>
                <w:lang w:eastAsia="fr-FR"/>
              </w:rPr>
            </w:pPr>
            <w:r>
              <w:rPr>
                <w:rFonts w:ascii="Calibri Light" w:eastAsia="Times New Roman" w:hAnsi="Calibri Light" w:cs="Calibri Light"/>
                <w:lang w:eastAsia="fr-FR"/>
              </w:rPr>
              <w:t>Agents CCAS Pôle Multifonction</w:t>
            </w:r>
          </w:p>
        </w:tc>
        <w:tc>
          <w:tcPr>
            <w:tcW w:w="1843" w:type="dxa"/>
          </w:tcPr>
          <w:p w14:paraId="074AAD8D" w14:textId="31E643C4" w:rsidR="008F5D70" w:rsidRDefault="00121550" w:rsidP="00121550">
            <w:pPr>
              <w:jc w:val="center"/>
              <w:rPr>
                <w:rFonts w:ascii="Calibri Light" w:eastAsia="Times New Roman" w:hAnsi="Calibri Light" w:cs="Calibri Light"/>
                <w:lang w:eastAsia="fr-FR"/>
              </w:rPr>
            </w:pPr>
            <w:r>
              <w:rPr>
                <w:rFonts w:ascii="Calibri Light" w:eastAsia="Times New Roman" w:hAnsi="Calibri Light" w:cs="Calibri Light"/>
                <w:lang w:eastAsia="fr-FR"/>
              </w:rPr>
              <w:t>8.</w:t>
            </w:r>
            <w:r w:rsidR="003F0BBD">
              <w:rPr>
                <w:rFonts w:ascii="Calibri Light" w:eastAsia="Times New Roman" w:hAnsi="Calibri Light" w:cs="Calibri Light"/>
                <w:lang w:eastAsia="fr-FR"/>
              </w:rPr>
              <w:t>1</w:t>
            </w:r>
          </w:p>
        </w:tc>
        <w:tc>
          <w:tcPr>
            <w:tcW w:w="3679" w:type="dxa"/>
          </w:tcPr>
          <w:p w14:paraId="56F0BF9B" w14:textId="4789498C" w:rsidR="008F5D70" w:rsidRDefault="00121550" w:rsidP="00121550">
            <w:pPr>
              <w:jc w:val="center"/>
              <w:rPr>
                <w:rFonts w:ascii="Calibri Light" w:eastAsia="Times New Roman" w:hAnsi="Calibri Light" w:cs="Calibri Light"/>
                <w:lang w:eastAsia="fr-FR"/>
              </w:rPr>
            </w:pPr>
            <w:r>
              <w:rPr>
                <w:rFonts w:ascii="Calibri Light" w:eastAsia="Times New Roman" w:hAnsi="Calibri Light" w:cs="Calibri Light"/>
                <w:lang w:eastAsia="fr-FR"/>
              </w:rPr>
              <w:t>356 770€</w:t>
            </w:r>
          </w:p>
        </w:tc>
      </w:tr>
      <w:tr w:rsidR="008F5D70" w14:paraId="46A53AC6" w14:textId="77777777" w:rsidTr="008F5D70">
        <w:tc>
          <w:tcPr>
            <w:tcW w:w="4106" w:type="dxa"/>
          </w:tcPr>
          <w:p w14:paraId="3D5FD020" w14:textId="05FDE88D" w:rsidR="008F5D70" w:rsidRDefault="008F5D70" w:rsidP="00053756">
            <w:pPr>
              <w:jc w:val="both"/>
              <w:rPr>
                <w:rFonts w:ascii="Calibri Light" w:eastAsia="Times New Roman" w:hAnsi="Calibri Light" w:cs="Calibri Light"/>
                <w:lang w:eastAsia="fr-FR"/>
              </w:rPr>
            </w:pPr>
            <w:r>
              <w:rPr>
                <w:rFonts w:ascii="Calibri Light" w:eastAsia="Times New Roman" w:hAnsi="Calibri Light" w:cs="Calibri Light"/>
                <w:lang w:eastAsia="fr-FR"/>
              </w:rPr>
              <w:t>Agents Ville</w:t>
            </w:r>
            <w:r w:rsidR="003F0BBD">
              <w:rPr>
                <w:rFonts w:ascii="Calibri Light" w:eastAsia="Times New Roman" w:hAnsi="Calibri Light" w:cs="Calibri Light"/>
                <w:lang w:eastAsia="fr-FR"/>
              </w:rPr>
              <w:t xml:space="preserve"> mis à disposition</w:t>
            </w:r>
          </w:p>
        </w:tc>
        <w:tc>
          <w:tcPr>
            <w:tcW w:w="1843" w:type="dxa"/>
          </w:tcPr>
          <w:p w14:paraId="1FC02CED" w14:textId="4EBF7DFB" w:rsidR="008F5D70" w:rsidRDefault="00121550" w:rsidP="00121550">
            <w:pPr>
              <w:jc w:val="center"/>
              <w:rPr>
                <w:rFonts w:ascii="Calibri Light" w:eastAsia="Times New Roman" w:hAnsi="Calibri Light" w:cs="Calibri Light"/>
                <w:lang w:eastAsia="fr-FR"/>
              </w:rPr>
            </w:pPr>
            <w:r>
              <w:rPr>
                <w:rFonts w:ascii="Calibri Light" w:eastAsia="Times New Roman" w:hAnsi="Calibri Light" w:cs="Calibri Light"/>
                <w:lang w:eastAsia="fr-FR"/>
              </w:rPr>
              <w:t>2.4</w:t>
            </w:r>
          </w:p>
        </w:tc>
        <w:tc>
          <w:tcPr>
            <w:tcW w:w="3679" w:type="dxa"/>
          </w:tcPr>
          <w:p w14:paraId="2A8836A6" w14:textId="63D8226F" w:rsidR="008F5D70" w:rsidRDefault="00121550" w:rsidP="00121550">
            <w:pPr>
              <w:jc w:val="center"/>
              <w:rPr>
                <w:rFonts w:ascii="Calibri Light" w:eastAsia="Times New Roman" w:hAnsi="Calibri Light" w:cs="Calibri Light"/>
                <w:lang w:eastAsia="fr-FR"/>
              </w:rPr>
            </w:pPr>
            <w:r>
              <w:rPr>
                <w:rFonts w:ascii="Calibri Light" w:eastAsia="Times New Roman" w:hAnsi="Calibri Light" w:cs="Calibri Light"/>
                <w:lang w:eastAsia="fr-FR"/>
              </w:rPr>
              <w:t>114 000€</w:t>
            </w:r>
          </w:p>
        </w:tc>
      </w:tr>
      <w:tr w:rsidR="00121550" w14:paraId="3DA34FB3" w14:textId="77777777" w:rsidTr="008F5D70">
        <w:tc>
          <w:tcPr>
            <w:tcW w:w="4106" w:type="dxa"/>
          </w:tcPr>
          <w:p w14:paraId="57F24E5B" w14:textId="393369D0" w:rsidR="00121550" w:rsidRDefault="00121550" w:rsidP="00121550">
            <w:pPr>
              <w:jc w:val="center"/>
              <w:rPr>
                <w:rFonts w:ascii="Calibri Light" w:eastAsia="Times New Roman" w:hAnsi="Calibri Light" w:cs="Calibri Light"/>
                <w:lang w:eastAsia="fr-FR"/>
              </w:rPr>
            </w:pPr>
            <w:r>
              <w:rPr>
                <w:rFonts w:ascii="Calibri Light" w:eastAsia="Times New Roman" w:hAnsi="Calibri Light" w:cs="Calibri Light"/>
                <w:lang w:eastAsia="fr-FR"/>
              </w:rPr>
              <w:t>Total</w:t>
            </w:r>
          </w:p>
        </w:tc>
        <w:tc>
          <w:tcPr>
            <w:tcW w:w="1843" w:type="dxa"/>
          </w:tcPr>
          <w:p w14:paraId="05B4D839" w14:textId="64E6ACA7" w:rsidR="00121550" w:rsidRDefault="00121550" w:rsidP="00121550">
            <w:pPr>
              <w:jc w:val="center"/>
              <w:rPr>
                <w:rFonts w:ascii="Calibri Light" w:eastAsia="Times New Roman" w:hAnsi="Calibri Light" w:cs="Calibri Light"/>
                <w:lang w:eastAsia="fr-FR"/>
              </w:rPr>
            </w:pPr>
            <w:r>
              <w:rPr>
                <w:rFonts w:ascii="Calibri Light" w:eastAsia="Times New Roman" w:hAnsi="Calibri Light" w:cs="Calibri Light"/>
                <w:lang w:eastAsia="fr-FR"/>
              </w:rPr>
              <w:t>1</w:t>
            </w:r>
            <w:r w:rsidR="006A7568">
              <w:rPr>
                <w:rFonts w:ascii="Calibri Light" w:eastAsia="Times New Roman" w:hAnsi="Calibri Light" w:cs="Calibri Light"/>
                <w:lang w:eastAsia="fr-FR"/>
              </w:rPr>
              <w:t>0.</w:t>
            </w:r>
            <w:r w:rsidR="003F0BBD">
              <w:rPr>
                <w:rFonts w:ascii="Calibri Light" w:eastAsia="Times New Roman" w:hAnsi="Calibri Light" w:cs="Calibri Light"/>
                <w:lang w:eastAsia="fr-FR"/>
              </w:rPr>
              <w:t>5</w:t>
            </w:r>
          </w:p>
        </w:tc>
        <w:tc>
          <w:tcPr>
            <w:tcW w:w="3679" w:type="dxa"/>
          </w:tcPr>
          <w:p w14:paraId="05D7AA0C" w14:textId="3B816884" w:rsidR="00121550" w:rsidRDefault="00121550" w:rsidP="00121550">
            <w:pPr>
              <w:jc w:val="center"/>
              <w:rPr>
                <w:rFonts w:ascii="Calibri Light" w:eastAsia="Times New Roman" w:hAnsi="Calibri Light" w:cs="Calibri Light"/>
                <w:lang w:eastAsia="fr-FR"/>
              </w:rPr>
            </w:pPr>
            <w:r>
              <w:rPr>
                <w:rFonts w:ascii="Calibri Light" w:eastAsia="Times New Roman" w:hAnsi="Calibri Light" w:cs="Calibri Light"/>
                <w:lang w:eastAsia="fr-FR"/>
              </w:rPr>
              <w:t>470 770€</w:t>
            </w:r>
          </w:p>
        </w:tc>
      </w:tr>
      <w:bookmarkEnd w:id="8"/>
      <w:bookmarkEnd w:id="9"/>
    </w:tbl>
    <w:p w14:paraId="5399AAB1" w14:textId="72F37244" w:rsidR="000C706C" w:rsidRDefault="000C706C" w:rsidP="0007315C">
      <w:pPr>
        <w:spacing w:line="240" w:lineRule="auto"/>
        <w:rPr>
          <w:rFonts w:ascii="Calibri Light" w:hAnsi="Calibri Light" w:cs="Calibri Light"/>
          <w:b/>
          <w:bCs/>
          <w:sz w:val="28"/>
          <w:szCs w:val="28"/>
        </w:rPr>
      </w:pPr>
    </w:p>
    <w:p w14:paraId="7668DA23" w14:textId="77777777" w:rsidR="00F03756" w:rsidRDefault="00F03756" w:rsidP="0007315C">
      <w:pPr>
        <w:spacing w:line="240" w:lineRule="auto"/>
        <w:rPr>
          <w:rFonts w:ascii="Calibri Light" w:hAnsi="Calibri Light" w:cs="Calibri Light"/>
          <w:b/>
          <w:bCs/>
          <w:sz w:val="28"/>
          <w:szCs w:val="28"/>
        </w:rPr>
      </w:pPr>
    </w:p>
    <w:p w14:paraId="531A93AE" w14:textId="0AFEE9BB" w:rsidR="00053756" w:rsidRPr="00CC757D" w:rsidRDefault="008C41D1" w:rsidP="008C41D1">
      <w:pPr>
        <w:pStyle w:val="Titre2"/>
      </w:pPr>
      <w:bookmarkStart w:id="10" w:name="_Toc213853353"/>
      <w:r w:rsidRPr="00496037">
        <w:lastRenderedPageBreak/>
        <w:t>Investissements</w:t>
      </w:r>
      <w:bookmarkEnd w:id="10"/>
    </w:p>
    <w:p w14:paraId="2D9595FF" w14:textId="0D8DCE4F" w:rsidR="00CC757D" w:rsidRPr="004526A1" w:rsidRDefault="00B832A7" w:rsidP="008C41D1">
      <w:pPr>
        <w:spacing w:line="240" w:lineRule="auto"/>
        <w:jc w:val="both"/>
        <w:rPr>
          <w:rFonts w:ascii="Calibri Light" w:eastAsia="Times New Roman" w:hAnsi="Calibri Light" w:cs="Calibri Light"/>
          <w:strike/>
          <w:lang w:eastAsia="fr-FR"/>
        </w:rPr>
      </w:pPr>
      <w:r>
        <w:rPr>
          <w:rFonts w:ascii="Calibri Light" w:eastAsia="Times New Roman" w:hAnsi="Calibri Light" w:cs="Calibri Light"/>
          <w:lang w:eastAsia="fr-FR"/>
        </w:rPr>
        <w:t xml:space="preserve">Les dépenses d’investissement </w:t>
      </w:r>
      <w:r w:rsidR="00CC757D">
        <w:rPr>
          <w:rFonts w:ascii="Calibri Light" w:eastAsia="Times New Roman" w:hAnsi="Calibri Light" w:cs="Calibri Light"/>
          <w:lang w:eastAsia="fr-FR"/>
        </w:rPr>
        <w:t xml:space="preserve">du CCAS </w:t>
      </w:r>
      <w:r w:rsidR="00A713C8">
        <w:rPr>
          <w:rFonts w:ascii="Calibri Light" w:eastAsia="Times New Roman" w:hAnsi="Calibri Light" w:cs="Calibri Light"/>
          <w:lang w:eastAsia="fr-FR"/>
        </w:rPr>
        <w:t>devraient s’établir</w:t>
      </w:r>
      <w:r>
        <w:rPr>
          <w:rFonts w:ascii="Calibri Light" w:eastAsia="Times New Roman" w:hAnsi="Calibri Light" w:cs="Calibri Light"/>
          <w:lang w:eastAsia="fr-FR"/>
        </w:rPr>
        <w:t xml:space="preserve"> en 202</w:t>
      </w:r>
      <w:r w:rsidR="00A713C8">
        <w:rPr>
          <w:rFonts w:ascii="Calibri Light" w:eastAsia="Times New Roman" w:hAnsi="Calibri Light" w:cs="Calibri Light"/>
          <w:lang w:eastAsia="fr-FR"/>
        </w:rPr>
        <w:t>5</w:t>
      </w:r>
      <w:r>
        <w:rPr>
          <w:rFonts w:ascii="Calibri Light" w:eastAsia="Times New Roman" w:hAnsi="Calibri Light" w:cs="Calibri Light"/>
          <w:lang w:eastAsia="fr-FR"/>
        </w:rPr>
        <w:t xml:space="preserve"> </w:t>
      </w:r>
      <w:r w:rsidRPr="004F4968">
        <w:rPr>
          <w:rFonts w:ascii="Calibri Light" w:eastAsia="Times New Roman" w:hAnsi="Calibri Light" w:cs="Calibri Light"/>
          <w:lang w:eastAsia="fr-FR"/>
        </w:rPr>
        <w:t xml:space="preserve">à </w:t>
      </w:r>
      <w:r w:rsidR="00A713C8">
        <w:rPr>
          <w:rFonts w:ascii="Calibri Light" w:eastAsia="Times New Roman" w:hAnsi="Calibri Light" w:cs="Calibri Light"/>
          <w:lang w:eastAsia="fr-FR"/>
        </w:rPr>
        <w:t>8</w:t>
      </w:r>
      <w:r w:rsidR="008366F9">
        <w:rPr>
          <w:rFonts w:ascii="Calibri Light" w:eastAsia="Times New Roman" w:hAnsi="Calibri Light" w:cs="Calibri Light"/>
          <w:lang w:eastAsia="fr-FR"/>
        </w:rPr>
        <w:t> </w:t>
      </w:r>
      <w:r w:rsidR="00B10150">
        <w:rPr>
          <w:rFonts w:ascii="Calibri Light" w:eastAsia="Times New Roman" w:hAnsi="Calibri Light" w:cs="Calibri Light"/>
          <w:lang w:eastAsia="fr-FR"/>
        </w:rPr>
        <w:t>6</w:t>
      </w:r>
      <w:r w:rsidR="00A713C8">
        <w:rPr>
          <w:rFonts w:ascii="Calibri Light" w:eastAsia="Times New Roman" w:hAnsi="Calibri Light" w:cs="Calibri Light"/>
          <w:lang w:eastAsia="fr-FR"/>
        </w:rPr>
        <w:t>00</w:t>
      </w:r>
      <w:r w:rsidR="008366F9">
        <w:rPr>
          <w:rFonts w:ascii="Calibri Light" w:eastAsia="Times New Roman" w:hAnsi="Calibri Light" w:cs="Calibri Light"/>
          <w:lang w:eastAsia="fr-FR"/>
        </w:rPr>
        <w:t xml:space="preserve"> </w:t>
      </w:r>
      <w:r w:rsidR="00CC757D">
        <w:rPr>
          <w:rFonts w:ascii="Calibri Light" w:eastAsia="Times New Roman" w:hAnsi="Calibri Light" w:cs="Calibri Light"/>
          <w:lang w:eastAsia="fr-FR"/>
        </w:rPr>
        <w:t>€</w:t>
      </w:r>
      <w:r w:rsidR="00AF7B76">
        <w:rPr>
          <w:rFonts w:ascii="Calibri Light" w:eastAsia="Times New Roman" w:hAnsi="Calibri Light" w:cs="Calibri Light"/>
          <w:lang w:eastAsia="fr-FR"/>
        </w:rPr>
        <w:t xml:space="preserve"> </w:t>
      </w:r>
      <w:r>
        <w:rPr>
          <w:rFonts w:ascii="Calibri Light" w:eastAsia="Times New Roman" w:hAnsi="Calibri Light" w:cs="Calibri Light"/>
          <w:lang w:eastAsia="fr-FR"/>
        </w:rPr>
        <w:t>euros</w:t>
      </w:r>
      <w:r w:rsidR="00A713C8">
        <w:rPr>
          <w:rFonts w:ascii="Calibri Light" w:eastAsia="Times New Roman" w:hAnsi="Calibri Light" w:cs="Calibri Light"/>
          <w:lang w:eastAsia="fr-FR"/>
        </w:rPr>
        <w:t xml:space="preserve"> environ</w:t>
      </w:r>
      <w:r w:rsidR="00CC3D15">
        <w:rPr>
          <w:rFonts w:ascii="Calibri Light" w:eastAsia="Times New Roman" w:hAnsi="Calibri Light" w:cs="Calibri Light"/>
          <w:lang w:eastAsia="fr-FR"/>
        </w:rPr>
        <w:t xml:space="preserve">. </w:t>
      </w:r>
      <w:r w:rsidR="00CC757D" w:rsidRPr="004526A1">
        <w:rPr>
          <w:rFonts w:ascii="Calibri Light" w:eastAsia="Times New Roman" w:hAnsi="Calibri Light" w:cs="Calibri Light"/>
          <w:strike/>
          <w:lang w:eastAsia="fr-FR"/>
        </w:rPr>
        <w:t xml:space="preserve"> </w:t>
      </w:r>
    </w:p>
    <w:p w14:paraId="193810F8" w14:textId="2C048939" w:rsidR="005338D9" w:rsidRDefault="005338D9" w:rsidP="008C41D1">
      <w:pPr>
        <w:spacing w:line="240" w:lineRule="auto"/>
        <w:jc w:val="both"/>
        <w:rPr>
          <w:rFonts w:ascii="Calibri Light" w:eastAsia="Times New Roman" w:hAnsi="Calibri Light" w:cs="Calibri Light"/>
          <w:lang w:eastAsia="fr-FR"/>
        </w:rPr>
      </w:pPr>
      <w:r>
        <w:rPr>
          <w:rFonts w:ascii="Calibri Light" w:eastAsia="Times New Roman" w:hAnsi="Calibri Light" w:cs="Calibri Light"/>
          <w:lang w:eastAsia="fr-FR"/>
        </w:rPr>
        <w:t>Elles se composent</w:t>
      </w:r>
      <w:r w:rsidR="00C041C6">
        <w:rPr>
          <w:rFonts w:ascii="Calibri Light" w:eastAsia="Times New Roman" w:hAnsi="Calibri Light" w:cs="Calibri Light"/>
          <w:lang w:eastAsia="fr-FR"/>
        </w:rPr>
        <w:t> </w:t>
      </w:r>
      <w:r w:rsidR="00CC757D">
        <w:rPr>
          <w:rFonts w:ascii="Calibri Light" w:eastAsia="Times New Roman" w:hAnsi="Calibri Light" w:cs="Calibri Light"/>
          <w:lang w:eastAsia="fr-FR"/>
        </w:rPr>
        <w:t>des dépenses suivantes</w:t>
      </w:r>
      <w:r w:rsidR="00A713C8">
        <w:rPr>
          <w:rFonts w:ascii="Calibri Light" w:eastAsia="Times New Roman" w:hAnsi="Calibri Light" w:cs="Calibri Light"/>
          <w:lang w:eastAsia="fr-FR"/>
        </w:rPr>
        <w:t xml:space="preserve">, en cours ou réalisées </w:t>
      </w:r>
      <w:r w:rsidR="00CC757D">
        <w:rPr>
          <w:rFonts w:ascii="Calibri Light" w:eastAsia="Times New Roman" w:hAnsi="Calibri Light" w:cs="Calibri Light"/>
          <w:lang w:eastAsia="fr-FR"/>
        </w:rPr>
        <w:t xml:space="preserve">: </w:t>
      </w:r>
    </w:p>
    <w:p w14:paraId="4DD631E6" w14:textId="2C871773" w:rsidR="00CC757D" w:rsidRDefault="00A713C8" w:rsidP="0069394F">
      <w:pPr>
        <w:pStyle w:val="Paragraphedeliste"/>
        <w:numPr>
          <w:ilvl w:val="0"/>
          <w:numId w:val="4"/>
        </w:numPr>
        <w:spacing w:line="240" w:lineRule="auto"/>
        <w:jc w:val="both"/>
        <w:rPr>
          <w:rFonts w:ascii="Calibri Light" w:eastAsia="Times New Roman" w:hAnsi="Calibri Light" w:cs="Calibri Light"/>
          <w:lang w:eastAsia="fr-FR"/>
        </w:rPr>
      </w:pPr>
      <w:r>
        <w:rPr>
          <w:rFonts w:ascii="Calibri Light" w:eastAsia="Times New Roman" w:hAnsi="Calibri Light" w:cs="Calibri Light"/>
          <w:lang w:eastAsia="fr-FR"/>
        </w:rPr>
        <w:t>Matériel informatique (écrans)</w:t>
      </w:r>
      <w:r w:rsidR="004526A1">
        <w:rPr>
          <w:rFonts w:ascii="Calibri Light" w:eastAsia="Times New Roman" w:hAnsi="Calibri Light" w:cs="Calibri Light"/>
          <w:lang w:eastAsia="fr-FR"/>
        </w:rPr>
        <w:tab/>
      </w:r>
      <w:r w:rsidR="004526A1">
        <w:rPr>
          <w:rFonts w:ascii="Calibri Light" w:eastAsia="Times New Roman" w:hAnsi="Calibri Light" w:cs="Calibri Light"/>
          <w:lang w:eastAsia="fr-FR"/>
        </w:rPr>
        <w:tab/>
      </w:r>
      <w:r>
        <w:rPr>
          <w:rFonts w:ascii="Calibri Light" w:eastAsia="Times New Roman" w:hAnsi="Calibri Light" w:cs="Calibri Light"/>
          <w:lang w:eastAsia="fr-FR"/>
        </w:rPr>
        <w:t xml:space="preserve">   </w:t>
      </w:r>
      <w:r w:rsidR="00B10150">
        <w:rPr>
          <w:rFonts w:ascii="Calibri Light" w:eastAsia="Times New Roman" w:hAnsi="Calibri Light" w:cs="Calibri Light"/>
          <w:lang w:eastAsia="fr-FR"/>
        </w:rPr>
        <w:t>400</w:t>
      </w:r>
      <w:r w:rsidR="004526A1">
        <w:rPr>
          <w:rFonts w:ascii="Calibri Light" w:eastAsia="Times New Roman" w:hAnsi="Calibri Light" w:cs="Calibri Light"/>
          <w:lang w:eastAsia="fr-FR"/>
        </w:rPr>
        <w:t xml:space="preserve"> €</w:t>
      </w:r>
    </w:p>
    <w:p w14:paraId="14B2D4CF" w14:textId="14C84657" w:rsidR="00A713C8" w:rsidRDefault="00A713C8" w:rsidP="00BC757B">
      <w:pPr>
        <w:pStyle w:val="Paragraphedeliste"/>
        <w:numPr>
          <w:ilvl w:val="0"/>
          <w:numId w:val="4"/>
        </w:numPr>
        <w:spacing w:line="240" w:lineRule="auto"/>
        <w:jc w:val="both"/>
        <w:rPr>
          <w:rFonts w:ascii="Calibri Light" w:eastAsia="Times New Roman" w:hAnsi="Calibri Light" w:cs="Calibri Light"/>
          <w:lang w:eastAsia="fr-FR"/>
        </w:rPr>
      </w:pPr>
      <w:r>
        <w:rPr>
          <w:rFonts w:ascii="Calibri Light" w:eastAsia="Times New Roman" w:hAnsi="Calibri Light" w:cs="Calibri Light"/>
          <w:lang w:eastAsia="fr-FR"/>
        </w:rPr>
        <w:t>Mobilier (bureaux, fauteuil SPOT)</w:t>
      </w:r>
      <w:r w:rsidR="004526A1">
        <w:rPr>
          <w:rFonts w:ascii="Calibri Light" w:eastAsia="Times New Roman" w:hAnsi="Calibri Light" w:cs="Calibri Light"/>
          <w:lang w:eastAsia="fr-FR"/>
        </w:rPr>
        <w:tab/>
      </w:r>
      <w:r>
        <w:rPr>
          <w:rFonts w:ascii="Calibri Light" w:eastAsia="Times New Roman" w:hAnsi="Calibri Light" w:cs="Calibri Light"/>
          <w:lang w:eastAsia="fr-FR"/>
        </w:rPr>
        <w:t xml:space="preserve">1 </w:t>
      </w:r>
      <w:r w:rsidR="00B10150">
        <w:rPr>
          <w:rFonts w:ascii="Calibri Light" w:eastAsia="Times New Roman" w:hAnsi="Calibri Light" w:cs="Calibri Light"/>
          <w:lang w:eastAsia="fr-FR"/>
        </w:rPr>
        <w:t>200</w:t>
      </w:r>
      <w:r w:rsidR="004526A1">
        <w:rPr>
          <w:rFonts w:ascii="Calibri Light" w:eastAsia="Times New Roman" w:hAnsi="Calibri Light" w:cs="Calibri Light"/>
          <w:lang w:eastAsia="fr-FR"/>
        </w:rPr>
        <w:t xml:space="preserve"> €</w:t>
      </w:r>
      <w:r>
        <w:rPr>
          <w:rFonts w:ascii="Calibri Light" w:eastAsia="Times New Roman" w:hAnsi="Calibri Light" w:cs="Calibri Light"/>
          <w:lang w:eastAsia="fr-FR"/>
        </w:rPr>
        <w:t xml:space="preserve"> </w:t>
      </w:r>
    </w:p>
    <w:p w14:paraId="4258CE94" w14:textId="77777777" w:rsidR="00BC757B" w:rsidRPr="00BC757B" w:rsidRDefault="00BC757B" w:rsidP="00BC757B">
      <w:pPr>
        <w:pStyle w:val="Paragraphedeliste"/>
        <w:spacing w:line="240" w:lineRule="auto"/>
        <w:jc w:val="both"/>
        <w:rPr>
          <w:rFonts w:ascii="Calibri Light" w:eastAsia="Times New Roman" w:hAnsi="Calibri Light" w:cs="Calibri Light"/>
          <w:lang w:eastAsia="fr-FR"/>
        </w:rPr>
      </w:pPr>
    </w:p>
    <w:p w14:paraId="37072ABD" w14:textId="7FF03E6A" w:rsidR="00A713C8" w:rsidRDefault="00A713C8" w:rsidP="00A930AF">
      <w:pPr>
        <w:pStyle w:val="Paragraphedeliste"/>
        <w:numPr>
          <w:ilvl w:val="0"/>
          <w:numId w:val="4"/>
        </w:numPr>
        <w:spacing w:line="240" w:lineRule="auto"/>
        <w:jc w:val="both"/>
        <w:rPr>
          <w:rFonts w:ascii="Calibri Light" w:eastAsia="Times New Roman" w:hAnsi="Calibri Light" w:cs="Calibri Light"/>
          <w:lang w:eastAsia="fr-FR"/>
        </w:rPr>
      </w:pPr>
      <w:r w:rsidRPr="00A713C8">
        <w:rPr>
          <w:rFonts w:ascii="Calibri Light" w:eastAsia="Times New Roman" w:hAnsi="Calibri Light" w:cs="Calibri Light"/>
          <w:lang w:eastAsia="fr-FR"/>
        </w:rPr>
        <w:t>Borne informatique libre accès CCAS</w:t>
      </w:r>
      <w:r w:rsidRPr="00A713C8">
        <w:rPr>
          <w:rFonts w:ascii="Calibri Light" w:eastAsia="Times New Roman" w:hAnsi="Calibri Light" w:cs="Calibri Light"/>
          <w:lang w:eastAsia="fr-FR"/>
        </w:rPr>
        <w:tab/>
        <w:t>7</w:t>
      </w:r>
      <w:r w:rsidR="00770664">
        <w:rPr>
          <w:rFonts w:ascii="Calibri Light" w:eastAsia="Times New Roman" w:hAnsi="Calibri Light" w:cs="Calibri Light"/>
          <w:lang w:eastAsia="fr-FR"/>
        </w:rPr>
        <w:t> </w:t>
      </w:r>
      <w:r w:rsidRPr="00A713C8">
        <w:rPr>
          <w:rFonts w:ascii="Calibri Light" w:eastAsia="Times New Roman" w:hAnsi="Calibri Light" w:cs="Calibri Light"/>
          <w:lang w:eastAsia="fr-FR"/>
        </w:rPr>
        <w:t>000</w:t>
      </w:r>
      <w:r w:rsidR="00770664">
        <w:rPr>
          <w:rFonts w:ascii="Calibri Light" w:eastAsia="Times New Roman" w:hAnsi="Calibri Light" w:cs="Calibri Light"/>
          <w:lang w:eastAsia="fr-FR"/>
        </w:rPr>
        <w:t xml:space="preserve"> </w:t>
      </w:r>
      <w:r w:rsidRPr="00A713C8">
        <w:rPr>
          <w:rFonts w:ascii="Calibri Light" w:eastAsia="Times New Roman" w:hAnsi="Calibri Light" w:cs="Calibri Light"/>
          <w:lang w:eastAsia="fr-FR"/>
        </w:rPr>
        <w:t>€</w:t>
      </w:r>
      <w:r w:rsidR="004526A1" w:rsidRPr="00A713C8">
        <w:rPr>
          <w:rFonts w:ascii="Calibri Light" w:eastAsia="Times New Roman" w:hAnsi="Calibri Light" w:cs="Calibri Light"/>
          <w:lang w:eastAsia="fr-FR"/>
        </w:rPr>
        <w:tab/>
      </w:r>
      <w:r w:rsidR="004526A1" w:rsidRPr="00A713C8">
        <w:rPr>
          <w:rFonts w:ascii="Calibri Light" w:eastAsia="Times New Roman" w:hAnsi="Calibri Light" w:cs="Calibri Light"/>
          <w:lang w:eastAsia="fr-FR"/>
        </w:rPr>
        <w:tab/>
      </w:r>
    </w:p>
    <w:p w14:paraId="7186EB17" w14:textId="3D228E13" w:rsidR="00BC757B" w:rsidRDefault="00CC757D" w:rsidP="00A713C8">
      <w:pPr>
        <w:spacing w:line="240" w:lineRule="auto"/>
        <w:jc w:val="both"/>
        <w:rPr>
          <w:rFonts w:ascii="Calibri Light" w:eastAsia="Times New Roman" w:hAnsi="Calibri Light" w:cs="Calibri Light"/>
          <w:lang w:eastAsia="fr-FR"/>
        </w:rPr>
      </w:pPr>
      <w:r w:rsidRPr="00A713C8">
        <w:rPr>
          <w:rFonts w:ascii="Calibri Light" w:eastAsia="Times New Roman" w:hAnsi="Calibri Light" w:cs="Calibri Light"/>
          <w:lang w:eastAsia="fr-FR"/>
        </w:rPr>
        <w:t>Certaines dépenses prévues en 202</w:t>
      </w:r>
      <w:r w:rsidR="00B10150">
        <w:rPr>
          <w:rFonts w:ascii="Calibri Light" w:eastAsia="Times New Roman" w:hAnsi="Calibri Light" w:cs="Calibri Light"/>
          <w:lang w:eastAsia="fr-FR"/>
        </w:rPr>
        <w:t xml:space="preserve">5 </w:t>
      </w:r>
      <w:r w:rsidRPr="00A713C8">
        <w:rPr>
          <w:rFonts w:ascii="Calibri Light" w:eastAsia="Times New Roman" w:hAnsi="Calibri Light" w:cs="Calibri Light"/>
          <w:lang w:eastAsia="fr-FR"/>
        </w:rPr>
        <w:t>n’ont pas pu être réalisées</w:t>
      </w:r>
      <w:r w:rsidR="00BC757B">
        <w:rPr>
          <w:rFonts w:ascii="Calibri Light" w:eastAsia="Times New Roman" w:hAnsi="Calibri Light" w:cs="Calibri Light"/>
          <w:lang w:eastAsia="fr-FR"/>
        </w:rPr>
        <w:t xml:space="preserve"> comme prévu :</w:t>
      </w:r>
    </w:p>
    <w:p w14:paraId="5D1D6434" w14:textId="25C269A1" w:rsidR="00A713C8" w:rsidRDefault="00125C35" w:rsidP="00BC757B">
      <w:pPr>
        <w:pStyle w:val="Paragraphedeliste"/>
        <w:numPr>
          <w:ilvl w:val="0"/>
          <w:numId w:val="4"/>
        </w:numPr>
        <w:spacing w:line="240" w:lineRule="auto"/>
        <w:jc w:val="both"/>
        <w:rPr>
          <w:rFonts w:ascii="Calibri Light" w:eastAsia="Times New Roman" w:hAnsi="Calibri Light" w:cs="Calibri Light"/>
          <w:lang w:eastAsia="fr-FR"/>
        </w:rPr>
      </w:pPr>
      <w:r>
        <w:rPr>
          <w:rFonts w:ascii="Calibri Light" w:eastAsia="Times New Roman" w:hAnsi="Calibri Light" w:cs="Calibri Light"/>
          <w:lang w:eastAsia="fr-FR"/>
        </w:rPr>
        <w:t>C</w:t>
      </w:r>
      <w:r w:rsidR="00CC757D" w:rsidRPr="00BC757B">
        <w:rPr>
          <w:rFonts w:ascii="Calibri Light" w:eastAsia="Times New Roman" w:hAnsi="Calibri Light" w:cs="Calibri Light"/>
          <w:lang w:eastAsia="fr-FR"/>
        </w:rPr>
        <w:t xml:space="preserve">hangement du standard </w:t>
      </w:r>
      <w:r w:rsidR="00BC757B">
        <w:rPr>
          <w:rFonts w:ascii="Calibri Light" w:eastAsia="Times New Roman" w:hAnsi="Calibri Light" w:cs="Calibri Light"/>
          <w:lang w:eastAsia="fr-FR"/>
        </w:rPr>
        <w:t xml:space="preserve">et du matériel </w:t>
      </w:r>
      <w:r w:rsidR="00CC757D" w:rsidRPr="00BC757B">
        <w:rPr>
          <w:rFonts w:ascii="Calibri Light" w:eastAsia="Times New Roman" w:hAnsi="Calibri Light" w:cs="Calibri Light"/>
          <w:lang w:eastAsia="fr-FR"/>
        </w:rPr>
        <w:t>de téléphonie</w:t>
      </w:r>
      <w:r w:rsidR="00A713C8" w:rsidRPr="00BC757B">
        <w:rPr>
          <w:rFonts w:ascii="Calibri Light" w:eastAsia="Times New Roman" w:hAnsi="Calibri Light" w:cs="Calibri Light"/>
          <w:lang w:eastAsia="fr-FR"/>
        </w:rPr>
        <w:t xml:space="preserve"> (4</w:t>
      </w:r>
      <w:r w:rsidR="00770664">
        <w:rPr>
          <w:rFonts w:ascii="Calibri Light" w:eastAsia="Times New Roman" w:hAnsi="Calibri Light" w:cs="Calibri Light"/>
          <w:lang w:eastAsia="fr-FR"/>
        </w:rPr>
        <w:t> </w:t>
      </w:r>
      <w:r w:rsidR="00A713C8" w:rsidRPr="00BC757B">
        <w:rPr>
          <w:rFonts w:ascii="Calibri Light" w:eastAsia="Times New Roman" w:hAnsi="Calibri Light" w:cs="Calibri Light"/>
          <w:lang w:eastAsia="fr-FR"/>
        </w:rPr>
        <w:t>000</w:t>
      </w:r>
      <w:r w:rsidR="00770664">
        <w:rPr>
          <w:rFonts w:ascii="Calibri Light" w:eastAsia="Times New Roman" w:hAnsi="Calibri Light" w:cs="Calibri Light"/>
          <w:lang w:eastAsia="fr-FR"/>
        </w:rPr>
        <w:t xml:space="preserve"> </w:t>
      </w:r>
      <w:r w:rsidR="00A713C8" w:rsidRPr="00BC757B">
        <w:rPr>
          <w:rFonts w:ascii="Calibri Light" w:eastAsia="Times New Roman" w:hAnsi="Calibri Light" w:cs="Calibri Light"/>
          <w:lang w:eastAsia="fr-FR"/>
        </w:rPr>
        <w:t>€ prévus au BP)</w:t>
      </w:r>
    </w:p>
    <w:p w14:paraId="748E8F82" w14:textId="042D0561" w:rsidR="00BC757B" w:rsidRPr="00BC757B" w:rsidRDefault="00F03756" w:rsidP="00BC757B">
      <w:pPr>
        <w:pStyle w:val="Paragraphedeliste"/>
        <w:numPr>
          <w:ilvl w:val="0"/>
          <w:numId w:val="4"/>
        </w:numPr>
        <w:spacing w:line="240" w:lineRule="auto"/>
        <w:jc w:val="both"/>
        <w:rPr>
          <w:rFonts w:ascii="Calibri Light" w:eastAsia="Times New Roman" w:hAnsi="Calibri Light" w:cs="Calibri Light"/>
          <w:lang w:eastAsia="fr-FR"/>
        </w:rPr>
      </w:pPr>
      <w:r>
        <w:rPr>
          <w:rFonts w:ascii="Calibri Light" w:eastAsia="Times New Roman" w:hAnsi="Calibri Light" w:cs="Calibri Light"/>
          <w:lang w:eastAsia="fr-FR"/>
        </w:rPr>
        <w:t>Provision pour r</w:t>
      </w:r>
      <w:r w:rsidR="00BC757B">
        <w:rPr>
          <w:rFonts w:ascii="Calibri Light" w:eastAsia="Times New Roman" w:hAnsi="Calibri Light" w:cs="Calibri Light"/>
          <w:lang w:eastAsia="fr-FR"/>
        </w:rPr>
        <w:t>enouvellement minibus 9 places (prévus 44</w:t>
      </w:r>
      <w:r w:rsidR="00770664">
        <w:rPr>
          <w:rFonts w:ascii="Calibri Light" w:eastAsia="Times New Roman" w:hAnsi="Calibri Light" w:cs="Calibri Light"/>
          <w:lang w:eastAsia="fr-FR"/>
        </w:rPr>
        <w:t> </w:t>
      </w:r>
      <w:r w:rsidR="00BC757B">
        <w:rPr>
          <w:rFonts w:ascii="Calibri Light" w:eastAsia="Times New Roman" w:hAnsi="Calibri Light" w:cs="Calibri Light"/>
          <w:lang w:eastAsia="fr-FR"/>
        </w:rPr>
        <w:t>000</w:t>
      </w:r>
      <w:r w:rsidR="00770664">
        <w:rPr>
          <w:rFonts w:ascii="Calibri Light" w:eastAsia="Times New Roman" w:hAnsi="Calibri Light" w:cs="Calibri Light"/>
          <w:lang w:eastAsia="fr-FR"/>
        </w:rPr>
        <w:t xml:space="preserve"> </w:t>
      </w:r>
      <w:r w:rsidR="00BC757B">
        <w:rPr>
          <w:rFonts w:ascii="Calibri Light" w:eastAsia="Times New Roman" w:hAnsi="Calibri Light" w:cs="Calibri Light"/>
          <w:lang w:eastAsia="fr-FR"/>
        </w:rPr>
        <w:t>€ au BP)</w:t>
      </w:r>
    </w:p>
    <w:p w14:paraId="3A077E80" w14:textId="77777777" w:rsidR="005338D9" w:rsidRPr="008A7ADC" w:rsidRDefault="005338D9" w:rsidP="00BC757B">
      <w:pPr>
        <w:spacing w:line="240" w:lineRule="auto"/>
        <w:rPr>
          <w:rFonts w:ascii="Calibri Light" w:eastAsia="Times New Roman" w:hAnsi="Calibri Light" w:cs="Calibri Light"/>
          <w:lang w:eastAsia="fr-FR"/>
        </w:rPr>
      </w:pPr>
    </w:p>
    <w:p w14:paraId="5AC13213" w14:textId="3E3FE51B" w:rsidR="008C41D1" w:rsidRDefault="008C41D1" w:rsidP="00873934">
      <w:pPr>
        <w:pStyle w:val="Titre1"/>
      </w:pPr>
      <w:bookmarkStart w:id="11" w:name="_Toc213853354"/>
      <w:r>
        <w:t>CONSTRUCTION DU BUDGET PRIMITIF 202</w:t>
      </w:r>
      <w:r w:rsidR="00BC757B">
        <w:t>6</w:t>
      </w:r>
      <w:r w:rsidR="005C0C77">
        <w:t xml:space="preserve"> DU CCAS</w:t>
      </w:r>
      <w:bookmarkEnd w:id="11"/>
    </w:p>
    <w:p w14:paraId="134DD11C" w14:textId="2B5BC7DC" w:rsidR="00BD0C40" w:rsidRDefault="00BD0C40" w:rsidP="00BD0C40">
      <w:pPr>
        <w:pStyle w:val="Paragraphedeliste"/>
        <w:tabs>
          <w:tab w:val="right" w:pos="9923"/>
        </w:tabs>
        <w:spacing w:after="120" w:line="240" w:lineRule="auto"/>
        <w:ind w:left="709"/>
        <w:jc w:val="both"/>
        <w:rPr>
          <w:rFonts w:ascii="Calibri Light" w:hAnsi="Calibri Light" w:cs="Calibri Light"/>
          <w:b/>
          <w:bCs/>
          <w:color w:val="31849B" w:themeColor="accent5" w:themeShade="BF"/>
          <w:sz w:val="28"/>
          <w:szCs w:val="28"/>
        </w:rPr>
      </w:pPr>
    </w:p>
    <w:p w14:paraId="298FBF5B" w14:textId="125DDD3C" w:rsidR="005C0C77" w:rsidRDefault="003C73F8" w:rsidP="00246FD4">
      <w:pPr>
        <w:spacing w:line="240" w:lineRule="auto"/>
        <w:jc w:val="both"/>
        <w:rPr>
          <w:rFonts w:ascii="Calibri Light" w:eastAsia="Times New Roman" w:hAnsi="Calibri Light" w:cs="Calibri Light"/>
          <w:lang w:eastAsia="fr-FR"/>
        </w:rPr>
      </w:pPr>
      <w:r w:rsidRPr="003C73F8">
        <w:rPr>
          <w:rFonts w:ascii="Calibri Light" w:eastAsia="Times New Roman" w:hAnsi="Calibri Light" w:cs="Calibri Light"/>
          <w:lang w:eastAsia="fr-FR"/>
        </w:rPr>
        <w:t>Le budget du CCAS est construit de manière à poursuivre les services rendus à la population, organiser les activités et animations proposées, offrir les aides nécessaires en fonction des besoins sociaux identifié</w:t>
      </w:r>
      <w:r w:rsidR="00D62216" w:rsidRPr="00BE7152">
        <w:rPr>
          <w:rFonts w:ascii="Calibri Light" w:eastAsia="Times New Roman" w:hAnsi="Calibri Light" w:cs="Calibri Light"/>
          <w:lang w:eastAsia="fr-FR"/>
        </w:rPr>
        <w:t>s</w:t>
      </w:r>
      <w:r w:rsidRPr="003C73F8">
        <w:rPr>
          <w:rFonts w:ascii="Calibri Light" w:eastAsia="Times New Roman" w:hAnsi="Calibri Light" w:cs="Calibri Light"/>
          <w:lang w:eastAsia="fr-FR"/>
        </w:rPr>
        <w:t xml:space="preserve"> et financer les dépenses liées aux salaires des agents. </w:t>
      </w:r>
    </w:p>
    <w:p w14:paraId="74B1C690" w14:textId="77777777" w:rsidR="00246FD4" w:rsidRPr="005C0C77" w:rsidRDefault="00246FD4" w:rsidP="00246FD4">
      <w:pPr>
        <w:spacing w:line="240" w:lineRule="auto"/>
        <w:jc w:val="both"/>
        <w:rPr>
          <w:lang w:eastAsia="fr-FR"/>
        </w:rPr>
      </w:pPr>
    </w:p>
    <w:p w14:paraId="178E3F8B" w14:textId="6DDE5A60" w:rsidR="00645ACF" w:rsidRPr="00645ACF" w:rsidRDefault="00BD0C40" w:rsidP="00645ACF">
      <w:pPr>
        <w:pStyle w:val="Titre2"/>
        <w:numPr>
          <w:ilvl w:val="0"/>
          <w:numId w:val="7"/>
        </w:numPr>
        <w:rPr>
          <w:lang w:eastAsia="fr-FR"/>
        </w:rPr>
      </w:pPr>
      <w:bookmarkStart w:id="12" w:name="_Toc213853355"/>
      <w:r w:rsidRPr="00162301">
        <w:rPr>
          <w:lang w:eastAsia="fr-FR"/>
        </w:rPr>
        <w:t>Projection financière de la section de fonctionnement</w:t>
      </w:r>
      <w:bookmarkEnd w:id="12"/>
    </w:p>
    <w:p w14:paraId="3ED68D74" w14:textId="77777777" w:rsidR="00F03756" w:rsidRDefault="00F60171" w:rsidP="002A18DE">
      <w:pPr>
        <w:spacing w:line="240" w:lineRule="auto"/>
        <w:jc w:val="both"/>
        <w:rPr>
          <w:rFonts w:ascii="Calibri Light" w:eastAsia="Times New Roman" w:hAnsi="Calibri Light" w:cs="Calibri Light"/>
          <w:lang w:eastAsia="fr-FR"/>
        </w:rPr>
      </w:pPr>
      <w:r w:rsidRPr="00915816">
        <w:rPr>
          <w:rFonts w:ascii="Calibri Light" w:eastAsia="Times New Roman" w:hAnsi="Calibri Light" w:cs="Calibri Light"/>
          <w:lang w:eastAsia="fr-FR"/>
        </w:rPr>
        <w:t>L</w:t>
      </w:r>
      <w:r w:rsidR="00BD0C40" w:rsidRPr="00915816">
        <w:rPr>
          <w:rFonts w:ascii="Calibri Light" w:eastAsia="Times New Roman" w:hAnsi="Calibri Light" w:cs="Calibri Light"/>
          <w:lang w:eastAsia="fr-FR"/>
        </w:rPr>
        <w:t xml:space="preserve">e </w:t>
      </w:r>
      <w:r w:rsidRPr="00915816">
        <w:rPr>
          <w:rFonts w:ascii="Calibri Light" w:eastAsia="Times New Roman" w:hAnsi="Calibri Light" w:cs="Calibri Light"/>
          <w:lang w:eastAsia="fr-FR"/>
        </w:rPr>
        <w:t xml:space="preserve">budget </w:t>
      </w:r>
      <w:r w:rsidR="00BD0C40" w:rsidRPr="00915816">
        <w:rPr>
          <w:rFonts w:ascii="Calibri Light" w:eastAsia="Times New Roman" w:hAnsi="Calibri Light" w:cs="Calibri Light"/>
          <w:lang w:eastAsia="fr-FR"/>
        </w:rPr>
        <w:t>20</w:t>
      </w:r>
      <w:r w:rsidR="0078790B" w:rsidRPr="00915816">
        <w:rPr>
          <w:rFonts w:ascii="Calibri Light" w:eastAsia="Times New Roman" w:hAnsi="Calibri Light" w:cs="Calibri Light"/>
          <w:lang w:eastAsia="fr-FR"/>
        </w:rPr>
        <w:t>2</w:t>
      </w:r>
      <w:r w:rsidR="00BC757B">
        <w:rPr>
          <w:rFonts w:ascii="Calibri Light" w:eastAsia="Times New Roman" w:hAnsi="Calibri Light" w:cs="Calibri Light"/>
          <w:lang w:eastAsia="fr-FR"/>
        </w:rPr>
        <w:t>6</w:t>
      </w:r>
      <w:r w:rsidRPr="00915816">
        <w:rPr>
          <w:rFonts w:ascii="Calibri Light" w:eastAsia="Times New Roman" w:hAnsi="Calibri Light" w:cs="Calibri Light"/>
          <w:lang w:eastAsia="fr-FR"/>
        </w:rPr>
        <w:t xml:space="preserve"> sera construit sur la base des </w:t>
      </w:r>
      <w:r w:rsidR="00BC757B">
        <w:rPr>
          <w:rFonts w:ascii="Calibri Light" w:eastAsia="Times New Roman" w:hAnsi="Calibri Light" w:cs="Calibri Light"/>
          <w:lang w:eastAsia="fr-FR"/>
        </w:rPr>
        <w:t xml:space="preserve">projections de </w:t>
      </w:r>
      <w:r w:rsidR="00763C42">
        <w:rPr>
          <w:rFonts w:ascii="Calibri Light" w:eastAsia="Times New Roman" w:hAnsi="Calibri Light" w:cs="Calibri Light"/>
          <w:lang w:eastAsia="fr-FR"/>
        </w:rPr>
        <w:t>clôture</w:t>
      </w:r>
      <w:r w:rsidR="00BC757B">
        <w:rPr>
          <w:rFonts w:ascii="Calibri Light" w:eastAsia="Times New Roman" w:hAnsi="Calibri Light" w:cs="Calibri Light"/>
          <w:lang w:eastAsia="fr-FR"/>
        </w:rPr>
        <w:t xml:space="preserve"> d’</w:t>
      </w:r>
      <w:r w:rsidR="00763C42">
        <w:rPr>
          <w:rFonts w:ascii="Calibri Light" w:eastAsia="Times New Roman" w:hAnsi="Calibri Light" w:cs="Calibri Light"/>
          <w:lang w:eastAsia="fr-FR"/>
        </w:rPr>
        <w:t>exercice</w:t>
      </w:r>
      <w:r w:rsidRPr="00915816">
        <w:rPr>
          <w:rFonts w:ascii="Calibri Light" w:eastAsia="Times New Roman" w:hAnsi="Calibri Light" w:cs="Calibri Light"/>
          <w:lang w:eastAsia="fr-FR"/>
        </w:rPr>
        <w:t xml:space="preserve"> 202</w:t>
      </w:r>
      <w:r w:rsidR="00BC757B">
        <w:rPr>
          <w:rFonts w:ascii="Calibri Light" w:eastAsia="Times New Roman" w:hAnsi="Calibri Light" w:cs="Calibri Light"/>
          <w:lang w:eastAsia="fr-FR"/>
        </w:rPr>
        <w:t>5</w:t>
      </w:r>
      <w:r w:rsidR="00915816" w:rsidRPr="00915816">
        <w:rPr>
          <w:rFonts w:ascii="Calibri Light" w:eastAsia="Times New Roman" w:hAnsi="Calibri Light" w:cs="Calibri Light"/>
          <w:lang w:eastAsia="fr-FR"/>
        </w:rPr>
        <w:t>.</w:t>
      </w:r>
      <w:r w:rsidR="00915816">
        <w:rPr>
          <w:rFonts w:ascii="Calibri Light" w:eastAsia="Times New Roman" w:hAnsi="Calibri Light" w:cs="Calibri Light"/>
          <w:lang w:eastAsia="fr-FR"/>
        </w:rPr>
        <w:t xml:space="preserve"> </w:t>
      </w:r>
    </w:p>
    <w:p w14:paraId="4BF731F7" w14:textId="4E341355" w:rsidR="00E36AC2" w:rsidRPr="00A21594" w:rsidRDefault="00915816" w:rsidP="002A18DE">
      <w:pPr>
        <w:spacing w:line="240" w:lineRule="auto"/>
        <w:jc w:val="both"/>
        <w:rPr>
          <w:rFonts w:ascii="Calibri Light" w:eastAsia="Times New Roman" w:hAnsi="Calibri Light" w:cs="Calibri Light"/>
          <w:lang w:eastAsia="fr-FR"/>
        </w:rPr>
      </w:pPr>
      <w:r>
        <w:rPr>
          <w:rFonts w:ascii="Calibri Light" w:eastAsia="Times New Roman" w:hAnsi="Calibri Light" w:cs="Calibri Light"/>
          <w:lang w:eastAsia="fr-FR"/>
        </w:rPr>
        <w:t xml:space="preserve">Les principales actions menées par le CCAS sont maintenues. </w:t>
      </w:r>
    </w:p>
    <w:p w14:paraId="56F5F601" w14:textId="77777777" w:rsidR="00BD0C40" w:rsidRPr="00FB3A18" w:rsidRDefault="00BD0C40" w:rsidP="00E45677">
      <w:pPr>
        <w:pStyle w:val="Titre3"/>
        <w:rPr>
          <w:lang w:eastAsia="fr-FR"/>
        </w:rPr>
      </w:pPr>
      <w:bookmarkStart w:id="13" w:name="_Toc213853356"/>
      <w:r w:rsidRPr="00FB3A18">
        <w:rPr>
          <w:lang w:eastAsia="fr-FR"/>
        </w:rPr>
        <w:t>Recettes de fonctionnement</w:t>
      </w:r>
      <w:bookmarkEnd w:id="13"/>
    </w:p>
    <w:p w14:paraId="461670B7" w14:textId="77777777" w:rsidR="00BD0C40" w:rsidRDefault="00BD0C40" w:rsidP="0069394F">
      <w:pPr>
        <w:pStyle w:val="Paragraphedeliste"/>
        <w:numPr>
          <w:ilvl w:val="0"/>
          <w:numId w:val="1"/>
        </w:numPr>
        <w:spacing w:line="240" w:lineRule="auto"/>
        <w:ind w:left="360"/>
        <w:jc w:val="both"/>
        <w:rPr>
          <w:rFonts w:ascii="Calibri Light" w:eastAsia="Times New Roman" w:hAnsi="Calibri Light" w:cs="Calibri Light"/>
          <w:color w:val="31849B" w:themeColor="accent5" w:themeShade="BF"/>
          <w:lang w:eastAsia="fr-FR"/>
        </w:rPr>
      </w:pPr>
      <w:r w:rsidRPr="002D06C3">
        <w:rPr>
          <w:rFonts w:ascii="Calibri Light" w:eastAsia="Times New Roman" w:hAnsi="Calibri Light" w:cs="Calibri Light"/>
          <w:color w:val="31849B" w:themeColor="accent5" w:themeShade="BF"/>
          <w:lang w:eastAsia="fr-FR"/>
        </w:rPr>
        <w:t>Produits des services, du domaine et des ventes diverses</w:t>
      </w:r>
    </w:p>
    <w:p w14:paraId="5CA0ABED" w14:textId="77777777" w:rsidR="00915816" w:rsidRPr="002D06C3" w:rsidRDefault="00915816" w:rsidP="00915816">
      <w:pPr>
        <w:pStyle w:val="Paragraphedeliste"/>
        <w:spacing w:line="240" w:lineRule="auto"/>
        <w:ind w:left="360"/>
        <w:jc w:val="both"/>
        <w:rPr>
          <w:rFonts w:ascii="Calibri Light" w:eastAsia="Times New Roman" w:hAnsi="Calibri Light" w:cs="Calibri Light"/>
          <w:color w:val="31849B" w:themeColor="accent5" w:themeShade="BF"/>
          <w:lang w:eastAsia="fr-FR"/>
        </w:rPr>
      </w:pPr>
    </w:p>
    <w:p w14:paraId="5A973C12" w14:textId="35211F61" w:rsidR="00BD0C40" w:rsidRPr="00BE7152" w:rsidRDefault="00BD0C40" w:rsidP="00645ACF">
      <w:pPr>
        <w:pStyle w:val="Paragraphedeliste"/>
        <w:spacing w:line="240" w:lineRule="auto"/>
        <w:ind w:left="0"/>
        <w:jc w:val="both"/>
        <w:rPr>
          <w:rFonts w:ascii="Calibri Light" w:eastAsia="Times New Roman" w:hAnsi="Calibri Light" w:cs="Calibri Light"/>
          <w:lang w:eastAsia="fr-FR"/>
        </w:rPr>
      </w:pPr>
      <w:r w:rsidRPr="00A21594">
        <w:rPr>
          <w:rFonts w:ascii="Calibri Light" w:eastAsia="Times New Roman" w:hAnsi="Calibri Light" w:cs="Calibri Light"/>
          <w:lang w:eastAsia="fr-FR"/>
        </w:rPr>
        <w:t xml:space="preserve">Les tarifs </w:t>
      </w:r>
      <w:r w:rsidR="00BC757B">
        <w:rPr>
          <w:rFonts w:ascii="Calibri Light" w:eastAsia="Times New Roman" w:hAnsi="Calibri Light" w:cs="Calibri Light"/>
          <w:lang w:eastAsia="fr-FR"/>
        </w:rPr>
        <w:t>2025-</w:t>
      </w:r>
      <w:r w:rsidRPr="00A21594">
        <w:rPr>
          <w:rFonts w:ascii="Calibri Light" w:eastAsia="Times New Roman" w:hAnsi="Calibri Light" w:cs="Calibri Light"/>
          <w:lang w:eastAsia="fr-FR"/>
        </w:rPr>
        <w:t>202</w:t>
      </w:r>
      <w:r w:rsidR="00BC757B">
        <w:rPr>
          <w:rFonts w:ascii="Calibri Light" w:eastAsia="Times New Roman" w:hAnsi="Calibri Light" w:cs="Calibri Light"/>
          <w:lang w:eastAsia="fr-FR"/>
        </w:rPr>
        <w:t>6</w:t>
      </w:r>
      <w:r w:rsidR="00E45677">
        <w:rPr>
          <w:rFonts w:ascii="Calibri Light" w:eastAsia="Times New Roman" w:hAnsi="Calibri Light" w:cs="Calibri Light"/>
          <w:lang w:eastAsia="fr-FR"/>
        </w:rPr>
        <w:t xml:space="preserve"> du CCAS</w:t>
      </w:r>
      <w:r w:rsidRPr="00A21594">
        <w:rPr>
          <w:rFonts w:ascii="Calibri Light" w:eastAsia="Times New Roman" w:hAnsi="Calibri Light" w:cs="Calibri Light"/>
          <w:lang w:eastAsia="fr-FR"/>
        </w:rPr>
        <w:t xml:space="preserve">, votés </w:t>
      </w:r>
      <w:r w:rsidR="00E45677">
        <w:rPr>
          <w:rFonts w:ascii="Calibri Light" w:eastAsia="Times New Roman" w:hAnsi="Calibri Light" w:cs="Calibri Light"/>
          <w:lang w:eastAsia="fr-FR"/>
        </w:rPr>
        <w:t>en année scolaire</w:t>
      </w:r>
      <w:r w:rsidRPr="00A21594">
        <w:rPr>
          <w:rFonts w:ascii="Calibri Light" w:eastAsia="Times New Roman" w:hAnsi="Calibri Light" w:cs="Calibri Light"/>
          <w:lang w:eastAsia="fr-FR"/>
        </w:rPr>
        <w:t xml:space="preserve">, </w:t>
      </w:r>
      <w:r w:rsidR="00E45677">
        <w:rPr>
          <w:rFonts w:ascii="Calibri Light" w:eastAsia="Times New Roman" w:hAnsi="Calibri Light" w:cs="Calibri Light"/>
          <w:lang w:eastAsia="fr-FR"/>
        </w:rPr>
        <w:t xml:space="preserve">ont été maintenus à leur niveau antérieur, compte-tenu de leur </w:t>
      </w:r>
      <w:r w:rsidR="00E45677" w:rsidRPr="00BE7152">
        <w:rPr>
          <w:rFonts w:ascii="Calibri Light" w:eastAsia="Times New Roman" w:hAnsi="Calibri Light" w:cs="Calibri Light"/>
          <w:lang w:eastAsia="fr-FR"/>
        </w:rPr>
        <w:t xml:space="preserve">caractère social et de l’inflation qui impacte déjà sur le budget des ménages. </w:t>
      </w:r>
    </w:p>
    <w:p w14:paraId="76712F0C" w14:textId="77777777" w:rsidR="00645ACF" w:rsidRDefault="00645ACF" w:rsidP="00915816">
      <w:pPr>
        <w:pStyle w:val="Paragraphedeliste"/>
        <w:spacing w:line="240" w:lineRule="auto"/>
        <w:ind w:left="709"/>
        <w:jc w:val="both"/>
        <w:rPr>
          <w:rFonts w:ascii="Calibri Light" w:eastAsia="Times New Roman" w:hAnsi="Calibri Light" w:cs="Calibri Light"/>
          <w:lang w:eastAsia="fr-FR"/>
        </w:rPr>
      </w:pPr>
    </w:p>
    <w:p w14:paraId="0D2C45A1" w14:textId="42C5B7F0" w:rsidR="00A509D7" w:rsidRPr="00193DBC" w:rsidRDefault="00915816" w:rsidP="00645ACF">
      <w:pPr>
        <w:pStyle w:val="Paragraphedeliste"/>
        <w:spacing w:line="240" w:lineRule="auto"/>
        <w:ind w:left="0"/>
        <w:jc w:val="both"/>
        <w:rPr>
          <w:rFonts w:ascii="Calibri Light" w:eastAsia="Times New Roman" w:hAnsi="Calibri Light" w:cs="Calibri Light"/>
          <w:strike/>
          <w:lang w:eastAsia="fr-FR"/>
        </w:rPr>
      </w:pPr>
      <w:r w:rsidRPr="008271EE">
        <w:rPr>
          <w:rFonts w:ascii="Calibri Light" w:eastAsia="Times New Roman" w:hAnsi="Calibri Light" w:cs="Calibri Light"/>
          <w:lang w:eastAsia="fr-FR"/>
        </w:rPr>
        <w:t xml:space="preserve">Les recettes liées aux activités </w:t>
      </w:r>
      <w:r w:rsidR="005971BF" w:rsidRPr="008271EE">
        <w:rPr>
          <w:rFonts w:ascii="Calibri Light" w:eastAsia="Times New Roman" w:hAnsi="Calibri Light" w:cs="Calibri Light"/>
          <w:lang w:eastAsia="fr-FR"/>
        </w:rPr>
        <w:t xml:space="preserve">seniors et adultes/familles </w:t>
      </w:r>
      <w:r w:rsidRPr="008271EE">
        <w:rPr>
          <w:rFonts w:ascii="Calibri Light" w:eastAsia="Times New Roman" w:hAnsi="Calibri Light" w:cs="Calibri Light"/>
          <w:lang w:eastAsia="fr-FR"/>
        </w:rPr>
        <w:t xml:space="preserve">sont estimées à environ </w:t>
      </w:r>
      <w:r w:rsidR="008271EE" w:rsidRPr="008271EE">
        <w:rPr>
          <w:rFonts w:ascii="Calibri Light" w:eastAsia="Times New Roman" w:hAnsi="Calibri Light" w:cs="Calibri Light"/>
          <w:lang w:eastAsia="fr-FR"/>
        </w:rPr>
        <w:t>25 000</w:t>
      </w:r>
      <w:r w:rsidR="00CF5ECA" w:rsidRPr="008271EE">
        <w:rPr>
          <w:rFonts w:ascii="Calibri Light" w:eastAsia="Times New Roman" w:hAnsi="Calibri Light" w:cs="Calibri Light"/>
          <w:lang w:eastAsia="fr-FR"/>
        </w:rPr>
        <w:t xml:space="preserve"> </w:t>
      </w:r>
      <w:r w:rsidRPr="008271EE">
        <w:rPr>
          <w:rFonts w:ascii="Calibri Light" w:eastAsia="Times New Roman" w:hAnsi="Calibri Light" w:cs="Calibri Light"/>
          <w:lang w:eastAsia="fr-FR"/>
        </w:rPr>
        <w:t>€</w:t>
      </w:r>
      <w:r w:rsidR="008271EE">
        <w:rPr>
          <w:rFonts w:ascii="Calibri Light" w:eastAsia="Times New Roman" w:hAnsi="Calibri Light" w:cs="Calibri Light"/>
          <w:lang w:eastAsia="fr-FR"/>
        </w:rPr>
        <w:t xml:space="preserve"> </w:t>
      </w:r>
    </w:p>
    <w:p w14:paraId="233E1D2C" w14:textId="77777777" w:rsidR="00915816" w:rsidRPr="00BE7152" w:rsidRDefault="00915816" w:rsidP="00915816">
      <w:pPr>
        <w:pStyle w:val="Paragraphedeliste"/>
        <w:spacing w:line="240" w:lineRule="auto"/>
        <w:ind w:left="709"/>
        <w:jc w:val="both"/>
        <w:rPr>
          <w:rFonts w:ascii="Calibri Light" w:eastAsia="Times New Roman" w:hAnsi="Calibri Light" w:cs="Calibri Light"/>
          <w:lang w:eastAsia="fr-FR"/>
        </w:rPr>
      </w:pPr>
    </w:p>
    <w:p w14:paraId="791E0753" w14:textId="175EF2F3" w:rsidR="008C2BAD" w:rsidRDefault="00915816" w:rsidP="00645ACF">
      <w:pPr>
        <w:pStyle w:val="Paragraphedeliste"/>
        <w:spacing w:line="240" w:lineRule="auto"/>
        <w:ind w:left="0"/>
        <w:jc w:val="both"/>
        <w:rPr>
          <w:rFonts w:ascii="Calibri Light" w:eastAsia="Times New Roman" w:hAnsi="Calibri Light" w:cs="Calibri Light"/>
          <w:lang w:eastAsia="fr-FR"/>
        </w:rPr>
      </w:pPr>
      <w:r w:rsidRPr="00BE7152">
        <w:rPr>
          <w:rFonts w:ascii="Calibri Light" w:eastAsia="Times New Roman" w:hAnsi="Calibri Light" w:cs="Calibri Light"/>
          <w:lang w:eastAsia="fr-FR"/>
        </w:rPr>
        <w:t>Le CCAS touche également des recettes liées à la mise à disposition d’agents à l’ADSCE pour les services à domicile.</w:t>
      </w:r>
      <w:r w:rsidR="00BC757B">
        <w:rPr>
          <w:rFonts w:ascii="Calibri Light" w:eastAsia="Times New Roman" w:hAnsi="Calibri Light" w:cs="Calibri Light"/>
          <w:lang w:eastAsia="fr-FR"/>
        </w:rPr>
        <w:t xml:space="preserve"> Cela ne concerne plus qu’un seul agent, pour environ 5</w:t>
      </w:r>
      <w:r w:rsidR="00045278">
        <w:rPr>
          <w:rFonts w:ascii="Calibri Light" w:eastAsia="Times New Roman" w:hAnsi="Calibri Light" w:cs="Calibri Light"/>
          <w:lang w:eastAsia="fr-FR"/>
        </w:rPr>
        <w:t>7</w:t>
      </w:r>
      <w:r w:rsidR="00770664">
        <w:rPr>
          <w:rFonts w:ascii="Calibri Light" w:eastAsia="Times New Roman" w:hAnsi="Calibri Light" w:cs="Calibri Light"/>
          <w:lang w:eastAsia="fr-FR"/>
        </w:rPr>
        <w:t> </w:t>
      </w:r>
      <w:r w:rsidR="00BC757B">
        <w:rPr>
          <w:rFonts w:ascii="Calibri Light" w:eastAsia="Times New Roman" w:hAnsi="Calibri Light" w:cs="Calibri Light"/>
          <w:lang w:eastAsia="fr-FR"/>
        </w:rPr>
        <w:t>000</w:t>
      </w:r>
      <w:r w:rsidR="00770664">
        <w:rPr>
          <w:rFonts w:ascii="Calibri Light" w:eastAsia="Times New Roman" w:hAnsi="Calibri Light" w:cs="Calibri Light"/>
          <w:lang w:eastAsia="fr-FR"/>
        </w:rPr>
        <w:t xml:space="preserve"> </w:t>
      </w:r>
      <w:r w:rsidR="00BC757B">
        <w:rPr>
          <w:rFonts w:ascii="Calibri Light" w:eastAsia="Times New Roman" w:hAnsi="Calibri Light" w:cs="Calibri Light"/>
          <w:lang w:eastAsia="fr-FR"/>
        </w:rPr>
        <w:t xml:space="preserve">€ par an. </w:t>
      </w:r>
      <w:r>
        <w:rPr>
          <w:rFonts w:ascii="Calibri Light" w:eastAsia="Times New Roman" w:hAnsi="Calibri Light" w:cs="Calibri Light"/>
          <w:lang w:eastAsia="fr-FR"/>
        </w:rPr>
        <w:t xml:space="preserve"> </w:t>
      </w:r>
    </w:p>
    <w:p w14:paraId="3E5BEB84" w14:textId="77777777" w:rsidR="00645ACF" w:rsidRPr="00645ACF" w:rsidRDefault="00645ACF" w:rsidP="00645ACF">
      <w:pPr>
        <w:pStyle w:val="Paragraphedeliste"/>
        <w:spacing w:line="240" w:lineRule="auto"/>
        <w:ind w:left="0"/>
        <w:jc w:val="both"/>
        <w:rPr>
          <w:rFonts w:ascii="Calibri Light" w:eastAsia="Times New Roman" w:hAnsi="Calibri Light" w:cs="Calibri Light"/>
          <w:lang w:eastAsia="fr-FR"/>
        </w:rPr>
      </w:pPr>
    </w:p>
    <w:p w14:paraId="427BF6F2" w14:textId="6649B4B5" w:rsidR="00BD0C40" w:rsidRDefault="00BD0C40" w:rsidP="0069394F">
      <w:pPr>
        <w:pStyle w:val="Paragraphedeliste"/>
        <w:numPr>
          <w:ilvl w:val="0"/>
          <w:numId w:val="1"/>
        </w:numPr>
        <w:spacing w:line="240" w:lineRule="auto"/>
        <w:ind w:left="360"/>
        <w:jc w:val="both"/>
        <w:rPr>
          <w:rFonts w:ascii="Calibri Light" w:eastAsia="Times New Roman" w:hAnsi="Calibri Light" w:cs="Calibri Light"/>
          <w:color w:val="31849B" w:themeColor="accent5" w:themeShade="BF"/>
          <w:lang w:eastAsia="fr-FR"/>
        </w:rPr>
      </w:pPr>
      <w:r w:rsidRPr="003066B3">
        <w:rPr>
          <w:rFonts w:ascii="Calibri Light" w:eastAsia="Times New Roman" w:hAnsi="Calibri Light" w:cs="Calibri Light"/>
          <w:color w:val="31849B" w:themeColor="accent5" w:themeShade="BF"/>
          <w:lang w:eastAsia="fr-FR"/>
        </w:rPr>
        <w:t>Dotations et participations</w:t>
      </w:r>
    </w:p>
    <w:p w14:paraId="7A23569A" w14:textId="77777777" w:rsidR="00E45677" w:rsidRPr="00A21594" w:rsidRDefault="00E45677" w:rsidP="00645ACF">
      <w:pPr>
        <w:spacing w:line="240" w:lineRule="auto"/>
        <w:jc w:val="both"/>
        <w:rPr>
          <w:rFonts w:ascii="Calibri Light" w:eastAsia="Times New Roman" w:hAnsi="Calibri Light" w:cs="Calibri Light"/>
          <w:u w:val="single"/>
          <w:lang w:eastAsia="fr-FR"/>
        </w:rPr>
      </w:pPr>
      <w:r w:rsidRPr="00A21594">
        <w:rPr>
          <w:rFonts w:ascii="Calibri Light" w:eastAsia="Times New Roman" w:hAnsi="Calibri Light" w:cs="Calibri Light"/>
          <w:u w:val="single"/>
          <w:lang w:eastAsia="fr-FR"/>
        </w:rPr>
        <w:t xml:space="preserve">Subventions d’équilibre </w:t>
      </w:r>
      <w:r>
        <w:rPr>
          <w:rFonts w:ascii="Calibri Light" w:eastAsia="Times New Roman" w:hAnsi="Calibri Light" w:cs="Calibri Light"/>
          <w:u w:val="single"/>
          <w:lang w:eastAsia="fr-FR"/>
        </w:rPr>
        <w:t xml:space="preserve">de la Ville </w:t>
      </w:r>
      <w:r w:rsidRPr="00A21594">
        <w:rPr>
          <w:rFonts w:ascii="Calibri Light" w:eastAsia="Times New Roman" w:hAnsi="Calibri Light" w:cs="Calibri Light"/>
          <w:u w:val="single"/>
          <w:lang w:eastAsia="fr-FR"/>
        </w:rPr>
        <w:t xml:space="preserve">au CCAS </w:t>
      </w:r>
    </w:p>
    <w:p w14:paraId="4F84C258" w14:textId="747A5110" w:rsidR="00E45677" w:rsidRPr="00915816" w:rsidRDefault="00E45677" w:rsidP="00645ACF">
      <w:pPr>
        <w:spacing w:line="240" w:lineRule="auto"/>
        <w:jc w:val="both"/>
        <w:rPr>
          <w:rFonts w:ascii="Calibri Light" w:eastAsia="Times New Roman" w:hAnsi="Calibri Light" w:cs="Calibri Light"/>
          <w:lang w:eastAsia="fr-FR"/>
        </w:rPr>
      </w:pPr>
      <w:r w:rsidRPr="00C17812">
        <w:rPr>
          <w:rFonts w:ascii="Calibri Light" w:eastAsia="Times New Roman" w:hAnsi="Calibri Light" w:cs="Calibri Light"/>
          <w:lang w:eastAsia="fr-FR"/>
        </w:rPr>
        <w:t>Pour 202</w:t>
      </w:r>
      <w:r w:rsidR="00BC757B" w:rsidRPr="00C17812">
        <w:rPr>
          <w:rFonts w:ascii="Calibri Light" w:eastAsia="Times New Roman" w:hAnsi="Calibri Light" w:cs="Calibri Light"/>
          <w:lang w:eastAsia="fr-FR"/>
        </w:rPr>
        <w:t>6</w:t>
      </w:r>
      <w:r w:rsidRPr="00C17812">
        <w:rPr>
          <w:rFonts w:ascii="Calibri Light" w:eastAsia="Times New Roman" w:hAnsi="Calibri Light" w:cs="Calibri Light"/>
          <w:lang w:eastAsia="fr-FR"/>
        </w:rPr>
        <w:t xml:space="preserve">, la subvention est estimée à </w:t>
      </w:r>
      <w:r w:rsidR="00C17812" w:rsidRPr="00C17812">
        <w:rPr>
          <w:rFonts w:ascii="Calibri Light" w:eastAsia="Times New Roman" w:hAnsi="Calibri Light" w:cs="Calibri Light"/>
          <w:lang w:eastAsia="fr-FR"/>
        </w:rPr>
        <w:t xml:space="preserve">600 </w:t>
      </w:r>
      <w:r w:rsidR="00F03756">
        <w:rPr>
          <w:rFonts w:ascii="Calibri Light" w:eastAsia="Times New Roman" w:hAnsi="Calibri Light" w:cs="Calibri Light"/>
          <w:lang w:eastAsia="fr-FR"/>
        </w:rPr>
        <w:t>000</w:t>
      </w:r>
      <w:r w:rsidRPr="00C17812">
        <w:rPr>
          <w:rFonts w:ascii="Calibri Light" w:eastAsia="Times New Roman" w:hAnsi="Calibri Light" w:cs="Calibri Light"/>
          <w:lang w:eastAsia="fr-FR"/>
        </w:rPr>
        <w:t>€.</w:t>
      </w:r>
      <w:r>
        <w:rPr>
          <w:rFonts w:ascii="Calibri Light" w:eastAsia="Times New Roman" w:hAnsi="Calibri Light" w:cs="Calibri Light"/>
          <w:lang w:eastAsia="fr-FR"/>
        </w:rPr>
        <w:t xml:space="preserve"> </w:t>
      </w:r>
    </w:p>
    <w:p w14:paraId="6895924E" w14:textId="2DE82AED" w:rsidR="00BD0C40" w:rsidRPr="00645ACF" w:rsidRDefault="00BD0C40" w:rsidP="00645ACF">
      <w:pPr>
        <w:spacing w:line="240" w:lineRule="auto"/>
        <w:jc w:val="both"/>
        <w:rPr>
          <w:rFonts w:ascii="Calibri Light" w:eastAsia="Times New Roman" w:hAnsi="Calibri Light" w:cs="Calibri Light"/>
          <w:u w:val="single"/>
          <w:lang w:eastAsia="fr-FR"/>
        </w:rPr>
      </w:pPr>
      <w:r w:rsidRPr="00645ACF">
        <w:rPr>
          <w:rFonts w:ascii="Calibri Light" w:eastAsia="Times New Roman" w:hAnsi="Calibri Light" w:cs="Calibri Light"/>
          <w:u w:val="single"/>
          <w:lang w:eastAsia="fr-FR"/>
        </w:rPr>
        <w:t>Autres organismes</w:t>
      </w:r>
    </w:p>
    <w:p w14:paraId="73214C2C" w14:textId="2F8FC4D4" w:rsidR="00EB0EC8" w:rsidRDefault="00915816" w:rsidP="00645ACF">
      <w:pPr>
        <w:spacing w:line="240" w:lineRule="auto"/>
        <w:jc w:val="both"/>
        <w:rPr>
          <w:rFonts w:ascii="Calibri Light" w:eastAsia="Times New Roman" w:hAnsi="Calibri Light" w:cs="Calibri Light"/>
          <w:lang w:eastAsia="fr-FR"/>
        </w:rPr>
      </w:pPr>
      <w:r w:rsidRPr="00125C35">
        <w:rPr>
          <w:rFonts w:ascii="Calibri Light" w:eastAsia="Times New Roman" w:hAnsi="Calibri Light" w:cs="Calibri Light"/>
          <w:lang w:eastAsia="fr-FR"/>
        </w:rPr>
        <w:t>Le CCAS perçoit également des dons de la part du Casino et encaisse les recettes d’un concert caritatif annuel qui se tient début août</w:t>
      </w:r>
      <w:r w:rsidR="00645ACF" w:rsidRPr="00125C35">
        <w:rPr>
          <w:rFonts w:ascii="Calibri Light" w:eastAsia="Times New Roman" w:hAnsi="Calibri Light" w:cs="Calibri Light"/>
          <w:lang w:eastAsia="fr-FR"/>
        </w:rPr>
        <w:t xml:space="preserve">, la </w:t>
      </w:r>
      <w:r w:rsidR="008231FD" w:rsidRPr="00125C35">
        <w:rPr>
          <w:rFonts w:ascii="Calibri Light" w:eastAsia="Times New Roman" w:hAnsi="Calibri Light" w:cs="Calibri Light"/>
          <w:lang w:eastAsia="fr-FR"/>
        </w:rPr>
        <w:t>prévision 202</w:t>
      </w:r>
      <w:r w:rsidR="00BC757B" w:rsidRPr="00125C35">
        <w:rPr>
          <w:rFonts w:ascii="Calibri Light" w:eastAsia="Times New Roman" w:hAnsi="Calibri Light" w:cs="Calibri Light"/>
          <w:lang w:eastAsia="fr-FR"/>
        </w:rPr>
        <w:t>6</w:t>
      </w:r>
      <w:r w:rsidR="008231FD" w:rsidRPr="00125C35">
        <w:rPr>
          <w:rFonts w:ascii="Calibri Light" w:eastAsia="Times New Roman" w:hAnsi="Calibri Light" w:cs="Calibri Light"/>
          <w:lang w:eastAsia="fr-FR"/>
        </w:rPr>
        <w:t xml:space="preserve"> </w:t>
      </w:r>
      <w:r w:rsidR="00645ACF" w:rsidRPr="00125C35">
        <w:rPr>
          <w:rFonts w:ascii="Calibri Light" w:eastAsia="Times New Roman" w:hAnsi="Calibri Light" w:cs="Calibri Light"/>
          <w:lang w:eastAsia="fr-FR"/>
        </w:rPr>
        <w:t xml:space="preserve">est établie à </w:t>
      </w:r>
      <w:r w:rsidR="005431E8" w:rsidRPr="00125C35">
        <w:rPr>
          <w:rFonts w:ascii="Calibri Light" w:eastAsia="Times New Roman" w:hAnsi="Calibri Light" w:cs="Calibri Light"/>
          <w:lang w:eastAsia="fr-FR"/>
        </w:rPr>
        <w:t>12</w:t>
      </w:r>
      <w:r w:rsidR="008231FD" w:rsidRPr="00125C35">
        <w:rPr>
          <w:rFonts w:ascii="Calibri Light" w:eastAsia="Times New Roman" w:hAnsi="Calibri Light" w:cs="Calibri Light"/>
          <w:lang w:eastAsia="fr-FR"/>
        </w:rPr>
        <w:t> 000 €.</w:t>
      </w:r>
    </w:p>
    <w:p w14:paraId="397ECF69" w14:textId="77777777" w:rsidR="00EB0EC8" w:rsidRDefault="00EB0EC8">
      <w:pPr>
        <w:rPr>
          <w:rFonts w:ascii="Calibri Light" w:eastAsia="Times New Roman" w:hAnsi="Calibri Light" w:cs="Calibri Light"/>
          <w:lang w:eastAsia="fr-FR"/>
        </w:rPr>
      </w:pPr>
      <w:r>
        <w:rPr>
          <w:rFonts w:ascii="Calibri Light" w:eastAsia="Times New Roman" w:hAnsi="Calibri Light" w:cs="Calibri Light"/>
          <w:lang w:eastAsia="fr-FR"/>
        </w:rPr>
        <w:br w:type="page"/>
      </w:r>
    </w:p>
    <w:p w14:paraId="5CD697F0" w14:textId="77777777" w:rsidR="00A509D7" w:rsidRDefault="00A509D7" w:rsidP="00645ACF">
      <w:pPr>
        <w:spacing w:line="240" w:lineRule="auto"/>
        <w:jc w:val="both"/>
        <w:rPr>
          <w:rFonts w:ascii="Calibri Light" w:eastAsia="Times New Roman" w:hAnsi="Calibri Light" w:cs="Calibri Light"/>
          <w:lang w:eastAsia="fr-FR"/>
        </w:rPr>
      </w:pPr>
    </w:p>
    <w:p w14:paraId="4E12743E" w14:textId="77777777" w:rsidR="00BD0C40" w:rsidRPr="00A863F8" w:rsidRDefault="00BD0C40" w:rsidP="00E45677">
      <w:pPr>
        <w:pStyle w:val="Titre3"/>
        <w:rPr>
          <w:lang w:eastAsia="fr-FR"/>
        </w:rPr>
      </w:pPr>
      <w:bookmarkStart w:id="14" w:name="_Toc213853357"/>
      <w:r w:rsidRPr="00A863F8">
        <w:rPr>
          <w:lang w:eastAsia="fr-FR"/>
        </w:rPr>
        <w:t>Dépenses de fonctionnement (hors masse salariale)</w:t>
      </w:r>
      <w:bookmarkEnd w:id="14"/>
    </w:p>
    <w:p w14:paraId="3832FF8D" w14:textId="77777777" w:rsidR="00A509D7" w:rsidRPr="00A21594" w:rsidRDefault="00A509D7" w:rsidP="00BD0C40">
      <w:pPr>
        <w:pStyle w:val="Paragraphedeliste"/>
        <w:spacing w:line="240" w:lineRule="auto"/>
        <w:ind w:left="0"/>
        <w:jc w:val="both"/>
        <w:rPr>
          <w:rFonts w:ascii="Calibri Light" w:eastAsia="Times New Roman" w:hAnsi="Calibri Light" w:cs="Calibri Light"/>
          <w:b/>
          <w:bCs/>
          <w:lang w:eastAsia="fr-FR"/>
        </w:rPr>
      </w:pPr>
    </w:p>
    <w:p w14:paraId="365F29C6" w14:textId="77777777" w:rsidR="00BD0C40" w:rsidRPr="00A863F8" w:rsidRDefault="00BD0C40" w:rsidP="0069394F">
      <w:pPr>
        <w:pStyle w:val="Paragraphedeliste"/>
        <w:numPr>
          <w:ilvl w:val="0"/>
          <w:numId w:val="1"/>
        </w:numPr>
        <w:spacing w:line="240" w:lineRule="auto"/>
        <w:ind w:left="360"/>
        <w:jc w:val="both"/>
        <w:rPr>
          <w:rFonts w:ascii="Calibri Light" w:eastAsia="Times New Roman" w:hAnsi="Calibri Light" w:cs="Calibri Light"/>
          <w:color w:val="31849B" w:themeColor="accent5" w:themeShade="BF"/>
          <w:lang w:eastAsia="fr-FR"/>
        </w:rPr>
      </w:pPr>
      <w:r w:rsidRPr="00A863F8">
        <w:rPr>
          <w:rFonts w:ascii="Calibri Light" w:eastAsia="Times New Roman" w:hAnsi="Calibri Light" w:cs="Calibri Light"/>
          <w:color w:val="31849B" w:themeColor="accent5" w:themeShade="BF"/>
          <w:lang w:eastAsia="fr-FR"/>
        </w:rPr>
        <w:t>Dépenses à caractère général</w:t>
      </w:r>
    </w:p>
    <w:p w14:paraId="7BD25E1A" w14:textId="77777777" w:rsidR="00BD0C40" w:rsidRPr="00A21594" w:rsidRDefault="00BD0C40" w:rsidP="00BD0C40">
      <w:pPr>
        <w:pStyle w:val="Paragraphedeliste"/>
        <w:spacing w:line="240" w:lineRule="auto"/>
        <w:ind w:left="0"/>
        <w:jc w:val="both"/>
        <w:rPr>
          <w:rFonts w:ascii="Calibri Light" w:eastAsia="Times New Roman" w:hAnsi="Calibri Light" w:cs="Calibri Light"/>
          <w:b/>
          <w:bCs/>
          <w:i/>
          <w:iCs/>
          <w:lang w:eastAsia="fr-FR"/>
        </w:rPr>
      </w:pPr>
    </w:p>
    <w:p w14:paraId="66169ADC" w14:textId="77777777" w:rsidR="00F03756" w:rsidRDefault="00BD0C40" w:rsidP="00645ACF">
      <w:pPr>
        <w:pStyle w:val="Paragraphedeliste"/>
        <w:spacing w:line="240" w:lineRule="auto"/>
        <w:ind w:left="0"/>
        <w:jc w:val="both"/>
        <w:rPr>
          <w:rFonts w:ascii="Calibri Light" w:eastAsia="Times New Roman" w:hAnsi="Calibri Light" w:cs="Calibri Light"/>
          <w:lang w:eastAsia="fr-FR"/>
        </w:rPr>
      </w:pPr>
      <w:r w:rsidRPr="00A21594">
        <w:rPr>
          <w:rFonts w:ascii="Calibri Light" w:eastAsia="Times New Roman" w:hAnsi="Calibri Light" w:cs="Calibri Light"/>
          <w:lang w:eastAsia="fr-FR"/>
        </w:rPr>
        <w:t xml:space="preserve">Pour la construction du budget primitif, </w:t>
      </w:r>
      <w:r w:rsidR="00D03EA1">
        <w:rPr>
          <w:rFonts w:ascii="Calibri Light" w:eastAsia="Times New Roman" w:hAnsi="Calibri Light" w:cs="Calibri Light"/>
          <w:lang w:eastAsia="fr-FR"/>
        </w:rPr>
        <w:t>la</w:t>
      </w:r>
      <w:r w:rsidRPr="00A21594">
        <w:rPr>
          <w:rFonts w:ascii="Calibri Light" w:eastAsia="Times New Roman" w:hAnsi="Calibri Light" w:cs="Calibri Light"/>
          <w:lang w:eastAsia="fr-FR"/>
        </w:rPr>
        <w:t xml:space="preserve"> préparation budgétaire est </w:t>
      </w:r>
      <w:r w:rsidR="00D03EA1">
        <w:rPr>
          <w:rFonts w:ascii="Calibri Light" w:eastAsia="Times New Roman" w:hAnsi="Calibri Light" w:cs="Calibri Light"/>
          <w:lang w:eastAsia="fr-FR"/>
        </w:rPr>
        <w:t>effectuée</w:t>
      </w:r>
      <w:r w:rsidRPr="00A21594">
        <w:rPr>
          <w:rFonts w:ascii="Calibri Light" w:eastAsia="Times New Roman" w:hAnsi="Calibri Light" w:cs="Calibri Light"/>
          <w:lang w:eastAsia="fr-FR"/>
        </w:rPr>
        <w:t xml:space="preserve"> sur la base des réalisations </w:t>
      </w:r>
      <w:r w:rsidR="008B7B80">
        <w:rPr>
          <w:rFonts w:ascii="Calibri Light" w:eastAsia="Times New Roman" w:hAnsi="Calibri Light" w:cs="Calibri Light"/>
          <w:lang w:eastAsia="fr-FR"/>
        </w:rPr>
        <w:t>202</w:t>
      </w:r>
      <w:r w:rsidR="00BC757B">
        <w:rPr>
          <w:rFonts w:ascii="Calibri Light" w:eastAsia="Times New Roman" w:hAnsi="Calibri Light" w:cs="Calibri Light"/>
          <w:lang w:eastAsia="fr-FR"/>
        </w:rPr>
        <w:t>5</w:t>
      </w:r>
      <w:r w:rsidRPr="00A21594">
        <w:rPr>
          <w:rFonts w:ascii="Calibri Light" w:eastAsia="Times New Roman" w:hAnsi="Calibri Light" w:cs="Calibri Light"/>
          <w:lang w:eastAsia="fr-FR"/>
        </w:rPr>
        <w:t xml:space="preserve">, ajustées </w:t>
      </w:r>
      <w:r w:rsidR="00685A90" w:rsidRPr="00A21594">
        <w:rPr>
          <w:rFonts w:ascii="Calibri Light" w:eastAsia="Times New Roman" w:hAnsi="Calibri Light" w:cs="Calibri Light"/>
          <w:lang w:eastAsia="fr-FR"/>
        </w:rPr>
        <w:t>selon l</w:t>
      </w:r>
      <w:r w:rsidRPr="00A21594">
        <w:rPr>
          <w:rFonts w:ascii="Calibri Light" w:eastAsia="Times New Roman" w:hAnsi="Calibri Light" w:cs="Calibri Light"/>
          <w:lang w:eastAsia="fr-FR"/>
        </w:rPr>
        <w:t xml:space="preserve">es évolutions de périmètre et </w:t>
      </w:r>
      <w:r w:rsidR="00685A90" w:rsidRPr="00A21594">
        <w:rPr>
          <w:rFonts w:ascii="Calibri Light" w:eastAsia="Times New Roman" w:hAnsi="Calibri Light" w:cs="Calibri Light"/>
          <w:lang w:eastAsia="fr-FR"/>
        </w:rPr>
        <w:t>l</w:t>
      </w:r>
      <w:r w:rsidRPr="00A21594">
        <w:rPr>
          <w:rFonts w:ascii="Calibri Light" w:eastAsia="Times New Roman" w:hAnsi="Calibri Light" w:cs="Calibri Light"/>
          <w:lang w:eastAsia="fr-FR"/>
        </w:rPr>
        <w:t xml:space="preserve">es </w:t>
      </w:r>
      <w:r w:rsidR="00C102A8">
        <w:rPr>
          <w:rFonts w:ascii="Calibri Light" w:eastAsia="Times New Roman" w:hAnsi="Calibri Light" w:cs="Calibri Light"/>
          <w:lang w:eastAsia="fr-FR"/>
        </w:rPr>
        <w:t xml:space="preserve">nouvelles </w:t>
      </w:r>
      <w:r w:rsidRPr="00A21594">
        <w:rPr>
          <w:rFonts w:ascii="Calibri Light" w:eastAsia="Times New Roman" w:hAnsi="Calibri Light" w:cs="Calibri Light"/>
          <w:lang w:eastAsia="fr-FR"/>
        </w:rPr>
        <w:t>actions</w:t>
      </w:r>
      <w:r w:rsidR="00915816">
        <w:rPr>
          <w:rFonts w:ascii="Calibri Light" w:eastAsia="Times New Roman" w:hAnsi="Calibri Light" w:cs="Calibri Light"/>
          <w:lang w:eastAsia="fr-FR"/>
        </w:rPr>
        <w:t xml:space="preserve"> éventuelles</w:t>
      </w:r>
      <w:r w:rsidR="008A5ADC">
        <w:rPr>
          <w:rFonts w:ascii="Calibri Light" w:eastAsia="Times New Roman" w:hAnsi="Calibri Light" w:cs="Calibri Light"/>
          <w:lang w:eastAsia="fr-FR"/>
        </w:rPr>
        <w:t xml:space="preserve">. </w:t>
      </w:r>
    </w:p>
    <w:p w14:paraId="54419E66" w14:textId="1384BB6A" w:rsidR="00BD0C40" w:rsidRPr="00A21594" w:rsidRDefault="00860A64" w:rsidP="00645ACF">
      <w:pPr>
        <w:pStyle w:val="Paragraphedeliste"/>
        <w:spacing w:line="240" w:lineRule="auto"/>
        <w:ind w:left="0"/>
        <w:jc w:val="both"/>
        <w:rPr>
          <w:rFonts w:ascii="Calibri Light" w:eastAsia="Times New Roman" w:hAnsi="Calibri Light" w:cs="Calibri Light"/>
          <w:lang w:eastAsia="fr-FR"/>
        </w:rPr>
      </w:pPr>
      <w:r>
        <w:rPr>
          <w:rFonts w:ascii="Calibri Light" w:eastAsia="Times New Roman" w:hAnsi="Calibri Light" w:cs="Calibri Light"/>
          <w:lang w:eastAsia="fr-FR"/>
        </w:rPr>
        <w:t>L</w:t>
      </w:r>
      <w:r w:rsidR="00BD0C40" w:rsidRPr="00A21594">
        <w:rPr>
          <w:rFonts w:ascii="Calibri Light" w:eastAsia="Times New Roman" w:hAnsi="Calibri Light" w:cs="Calibri Light"/>
          <w:lang w:eastAsia="fr-FR"/>
        </w:rPr>
        <w:t>e budget 202</w:t>
      </w:r>
      <w:r w:rsidR="00021E64">
        <w:rPr>
          <w:rFonts w:ascii="Calibri Light" w:eastAsia="Times New Roman" w:hAnsi="Calibri Light" w:cs="Calibri Light"/>
          <w:lang w:eastAsia="fr-FR"/>
        </w:rPr>
        <w:t>6</w:t>
      </w:r>
      <w:r w:rsidR="00BD0C40" w:rsidRPr="00A21594">
        <w:rPr>
          <w:rFonts w:ascii="Calibri Light" w:eastAsia="Times New Roman" w:hAnsi="Calibri Light" w:cs="Calibri Light"/>
          <w:lang w:eastAsia="fr-FR"/>
        </w:rPr>
        <w:t xml:space="preserve"> devra également tenir compte de </w:t>
      </w:r>
      <w:r w:rsidR="00915816">
        <w:rPr>
          <w:rFonts w:ascii="Calibri Light" w:eastAsia="Times New Roman" w:hAnsi="Calibri Light" w:cs="Calibri Light"/>
          <w:lang w:eastAsia="fr-FR"/>
        </w:rPr>
        <w:t xml:space="preserve">l’évolution de </w:t>
      </w:r>
      <w:r w:rsidR="00BD0C40" w:rsidRPr="00A21594">
        <w:rPr>
          <w:rFonts w:ascii="Calibri Light" w:eastAsia="Times New Roman" w:hAnsi="Calibri Light" w:cs="Calibri Light"/>
          <w:lang w:eastAsia="fr-FR"/>
        </w:rPr>
        <w:t>plusieurs postes de dépenses :</w:t>
      </w:r>
    </w:p>
    <w:p w14:paraId="746682BF" w14:textId="77777777" w:rsidR="00BD0C40" w:rsidRPr="00A21594" w:rsidRDefault="00BD0C40" w:rsidP="00A863F8">
      <w:pPr>
        <w:pStyle w:val="Paragraphedeliste"/>
        <w:spacing w:line="240" w:lineRule="auto"/>
        <w:ind w:left="709"/>
        <w:jc w:val="both"/>
        <w:rPr>
          <w:rFonts w:ascii="Calibri Light" w:eastAsia="Times New Roman" w:hAnsi="Calibri Light" w:cs="Calibri Light"/>
          <w:lang w:eastAsia="fr-FR"/>
        </w:rPr>
      </w:pPr>
    </w:p>
    <w:p w14:paraId="1BB2D578" w14:textId="24EF3E34" w:rsidR="00BD0C40" w:rsidRPr="00BD5977" w:rsidRDefault="00BD0C40" w:rsidP="00645ACF">
      <w:pPr>
        <w:pStyle w:val="Paragraphedeliste"/>
        <w:spacing w:line="240" w:lineRule="auto"/>
        <w:ind w:left="0"/>
        <w:jc w:val="both"/>
        <w:rPr>
          <w:rFonts w:ascii="Calibri Light" w:eastAsia="Times New Roman" w:hAnsi="Calibri Light" w:cs="Calibri Light"/>
          <w:lang w:eastAsia="fr-FR"/>
        </w:rPr>
      </w:pPr>
      <w:r w:rsidRPr="00BD5977">
        <w:rPr>
          <w:rFonts w:ascii="Calibri Light" w:eastAsia="Times New Roman" w:hAnsi="Calibri Light" w:cs="Calibri Light"/>
          <w:u w:val="single"/>
          <w:lang w:eastAsia="fr-FR"/>
        </w:rPr>
        <w:t>Energies et combustibles</w:t>
      </w:r>
      <w:r w:rsidRPr="00BD5977">
        <w:rPr>
          <w:rFonts w:ascii="Calibri Light" w:eastAsia="Times New Roman" w:hAnsi="Calibri Light" w:cs="Calibri Light"/>
          <w:lang w:eastAsia="fr-FR"/>
        </w:rPr>
        <w:t xml:space="preserve"> : </w:t>
      </w:r>
      <w:r w:rsidR="00915816" w:rsidRPr="00BD5977">
        <w:rPr>
          <w:rFonts w:ascii="Calibri Light" w:eastAsia="Times New Roman" w:hAnsi="Calibri Light" w:cs="Calibri Light"/>
          <w:lang w:eastAsia="fr-FR"/>
        </w:rPr>
        <w:t>la prévision budgétaire 202</w:t>
      </w:r>
      <w:r w:rsidR="00CA0E5A" w:rsidRPr="00BD5977">
        <w:rPr>
          <w:rFonts w:ascii="Calibri Light" w:eastAsia="Times New Roman" w:hAnsi="Calibri Light" w:cs="Calibri Light"/>
          <w:lang w:eastAsia="fr-FR"/>
        </w:rPr>
        <w:t>6</w:t>
      </w:r>
      <w:r w:rsidR="00915816" w:rsidRPr="00BD5977">
        <w:rPr>
          <w:rFonts w:ascii="Calibri Light" w:eastAsia="Times New Roman" w:hAnsi="Calibri Light" w:cs="Calibri Light"/>
          <w:lang w:eastAsia="fr-FR"/>
        </w:rPr>
        <w:t xml:space="preserve"> prendra pour hypothèse </w:t>
      </w:r>
      <w:r w:rsidR="00CA0E5A" w:rsidRPr="00BD5977">
        <w:rPr>
          <w:rFonts w:ascii="Calibri Light" w:eastAsia="Times New Roman" w:hAnsi="Calibri Light" w:cs="Calibri Light"/>
          <w:lang w:eastAsia="fr-FR"/>
        </w:rPr>
        <w:t>une augmentation des coûts de l’énergie</w:t>
      </w:r>
      <w:r w:rsidR="00915816" w:rsidRPr="00BD5977">
        <w:rPr>
          <w:rFonts w:ascii="Calibri Light" w:eastAsia="Times New Roman" w:hAnsi="Calibri Light" w:cs="Calibri Light"/>
          <w:lang w:eastAsia="fr-FR"/>
        </w:rPr>
        <w:t xml:space="preserve"> </w:t>
      </w:r>
      <w:r w:rsidR="00BD5977" w:rsidRPr="00BD5977">
        <w:rPr>
          <w:rFonts w:ascii="Calibri Light" w:eastAsia="Times New Roman" w:hAnsi="Calibri Light" w:cs="Calibri Light"/>
          <w:lang w:eastAsia="fr-FR"/>
        </w:rPr>
        <w:t xml:space="preserve">soit une dépense de 20 924€ pour l’énergie et 2000€ pour les combustibles. </w:t>
      </w:r>
    </w:p>
    <w:p w14:paraId="36B42EA4" w14:textId="77777777" w:rsidR="00BD0C40" w:rsidRPr="00672AC6" w:rsidRDefault="00BD0C40" w:rsidP="00A863F8">
      <w:pPr>
        <w:pStyle w:val="Paragraphedeliste"/>
        <w:spacing w:line="240" w:lineRule="auto"/>
        <w:ind w:left="709"/>
        <w:jc w:val="both"/>
        <w:rPr>
          <w:rFonts w:ascii="Calibri Light" w:eastAsia="Times New Roman" w:hAnsi="Calibri Light" w:cs="Calibri Light"/>
          <w:highlight w:val="cyan"/>
          <w:lang w:eastAsia="fr-FR"/>
        </w:rPr>
      </w:pPr>
    </w:p>
    <w:p w14:paraId="396E1F72" w14:textId="4D71B4EC" w:rsidR="00BD0C40" w:rsidRPr="00BD5977" w:rsidRDefault="00BD0C40" w:rsidP="00645ACF">
      <w:pPr>
        <w:pStyle w:val="Paragraphedeliste"/>
        <w:spacing w:line="240" w:lineRule="auto"/>
        <w:ind w:left="0"/>
        <w:jc w:val="both"/>
        <w:rPr>
          <w:rFonts w:ascii="Calibri Light" w:eastAsia="Times New Roman" w:hAnsi="Calibri Light" w:cs="Calibri Light"/>
          <w:lang w:eastAsia="fr-FR"/>
        </w:rPr>
      </w:pPr>
      <w:r w:rsidRPr="00BD5977">
        <w:rPr>
          <w:rFonts w:ascii="Calibri Light" w:eastAsia="Times New Roman" w:hAnsi="Calibri Light" w:cs="Calibri Light"/>
          <w:u w:val="single"/>
          <w:lang w:eastAsia="fr-FR"/>
        </w:rPr>
        <w:t>Alimentation</w:t>
      </w:r>
      <w:r w:rsidR="00915816" w:rsidRPr="00BD5977">
        <w:rPr>
          <w:rFonts w:ascii="Calibri Light" w:eastAsia="Times New Roman" w:hAnsi="Calibri Light" w:cs="Calibri Light"/>
          <w:u w:val="single"/>
          <w:lang w:eastAsia="fr-FR"/>
        </w:rPr>
        <w:t xml:space="preserve"> </w:t>
      </w:r>
      <w:r w:rsidRPr="00BD5977">
        <w:rPr>
          <w:rFonts w:ascii="Calibri Light" w:eastAsia="Times New Roman" w:hAnsi="Calibri Light" w:cs="Calibri Light"/>
          <w:lang w:eastAsia="fr-FR"/>
        </w:rPr>
        <w:t xml:space="preserve">: </w:t>
      </w:r>
      <w:r w:rsidR="00915816" w:rsidRPr="003F0BBD">
        <w:rPr>
          <w:rFonts w:ascii="Calibri Light" w:eastAsia="Times New Roman" w:hAnsi="Calibri Light" w:cs="Calibri Light"/>
          <w:lang w:eastAsia="fr-FR"/>
        </w:rPr>
        <w:t xml:space="preserve">une </w:t>
      </w:r>
      <w:r w:rsidR="00860A64" w:rsidRPr="003F0BBD">
        <w:rPr>
          <w:rFonts w:ascii="Calibri Light" w:eastAsia="Times New Roman" w:hAnsi="Calibri Light" w:cs="Calibri Light"/>
          <w:lang w:eastAsia="fr-FR"/>
        </w:rPr>
        <w:t>augmentation des coûts liés à l’inflation</w:t>
      </w:r>
      <w:r w:rsidR="00915816" w:rsidRPr="003F0BBD">
        <w:rPr>
          <w:rFonts w:ascii="Calibri Light" w:eastAsia="Times New Roman" w:hAnsi="Calibri Light" w:cs="Calibri Light"/>
          <w:lang w:eastAsia="fr-FR"/>
        </w:rPr>
        <w:t xml:space="preserve"> ayant déjà été constatée en 202</w:t>
      </w:r>
      <w:r w:rsidR="00645ACF" w:rsidRPr="003F0BBD">
        <w:rPr>
          <w:rFonts w:ascii="Calibri Light" w:eastAsia="Times New Roman" w:hAnsi="Calibri Light" w:cs="Calibri Light"/>
          <w:lang w:eastAsia="fr-FR"/>
        </w:rPr>
        <w:t>5</w:t>
      </w:r>
      <w:r w:rsidR="00915816" w:rsidRPr="003F0BBD">
        <w:rPr>
          <w:rFonts w:ascii="Calibri Light" w:eastAsia="Times New Roman" w:hAnsi="Calibri Light" w:cs="Calibri Light"/>
          <w:lang w:eastAsia="fr-FR"/>
        </w:rPr>
        <w:t xml:space="preserve">, les montants consacrés à cette dépense devraient être </w:t>
      </w:r>
      <w:r w:rsidR="00CA0E5A" w:rsidRPr="003F0BBD">
        <w:rPr>
          <w:rFonts w:ascii="Calibri Light" w:eastAsia="Times New Roman" w:hAnsi="Calibri Light" w:cs="Calibri Light"/>
          <w:lang w:eastAsia="fr-FR"/>
        </w:rPr>
        <w:t>en augmentation</w:t>
      </w:r>
      <w:r w:rsidR="00915816" w:rsidRPr="003F0BBD">
        <w:rPr>
          <w:rFonts w:ascii="Calibri Light" w:eastAsia="Times New Roman" w:hAnsi="Calibri Light" w:cs="Calibri Light"/>
          <w:lang w:eastAsia="fr-FR"/>
        </w:rPr>
        <w:t xml:space="preserve"> </w:t>
      </w:r>
      <w:r w:rsidR="00CA0E5A" w:rsidRPr="003F0BBD">
        <w:rPr>
          <w:rFonts w:ascii="Calibri Light" w:eastAsia="Times New Roman" w:hAnsi="Calibri Light" w:cs="Calibri Light"/>
          <w:lang w:eastAsia="fr-FR"/>
        </w:rPr>
        <w:t>en</w:t>
      </w:r>
      <w:r w:rsidR="00915816" w:rsidRPr="003F0BBD">
        <w:rPr>
          <w:rFonts w:ascii="Calibri Light" w:eastAsia="Times New Roman" w:hAnsi="Calibri Light" w:cs="Calibri Light"/>
          <w:lang w:eastAsia="fr-FR"/>
        </w:rPr>
        <w:t xml:space="preserve"> 202</w:t>
      </w:r>
      <w:r w:rsidR="00CA0E5A" w:rsidRPr="003F0BBD">
        <w:rPr>
          <w:rFonts w:ascii="Calibri Light" w:eastAsia="Times New Roman" w:hAnsi="Calibri Light" w:cs="Calibri Light"/>
          <w:lang w:eastAsia="fr-FR"/>
        </w:rPr>
        <w:t>6</w:t>
      </w:r>
      <w:r w:rsidR="00915816" w:rsidRPr="003F0BBD">
        <w:rPr>
          <w:rFonts w:ascii="Calibri Light" w:eastAsia="Times New Roman" w:hAnsi="Calibri Light" w:cs="Calibri Light"/>
          <w:lang w:eastAsia="fr-FR"/>
        </w:rPr>
        <w:t>.</w:t>
      </w:r>
      <w:r w:rsidR="00AB5197" w:rsidRPr="003F0BBD">
        <w:rPr>
          <w:rFonts w:ascii="Calibri Light" w:eastAsia="Times New Roman" w:hAnsi="Calibri Light" w:cs="Calibri Light"/>
          <w:lang w:eastAsia="fr-FR"/>
        </w:rPr>
        <w:t xml:space="preserve"> Au regard de l’évolution du nombre des besoins usagers ainsi que de l’inflation</w:t>
      </w:r>
      <w:r w:rsidR="00F03756">
        <w:rPr>
          <w:rFonts w:ascii="Calibri Light" w:eastAsia="Times New Roman" w:hAnsi="Calibri Light" w:cs="Calibri Light"/>
          <w:lang w:eastAsia="fr-FR"/>
        </w:rPr>
        <w:t>,</w:t>
      </w:r>
      <w:r w:rsidR="00AB5197" w:rsidRPr="003F0BBD">
        <w:rPr>
          <w:rFonts w:ascii="Calibri Light" w:eastAsia="Times New Roman" w:hAnsi="Calibri Light" w:cs="Calibri Light"/>
          <w:lang w:eastAsia="fr-FR"/>
        </w:rPr>
        <w:t xml:space="preserve"> </w:t>
      </w:r>
      <w:r w:rsidR="00F03756">
        <w:rPr>
          <w:rFonts w:ascii="Calibri Light" w:eastAsia="Times New Roman" w:hAnsi="Calibri Light" w:cs="Calibri Light"/>
          <w:lang w:eastAsia="fr-FR"/>
        </w:rPr>
        <w:t>il est envisagé</w:t>
      </w:r>
      <w:r w:rsidR="00AB5197" w:rsidRPr="003F0BBD">
        <w:rPr>
          <w:rFonts w:ascii="Calibri Light" w:eastAsia="Times New Roman" w:hAnsi="Calibri Light" w:cs="Calibri Light"/>
          <w:lang w:eastAsia="fr-FR"/>
        </w:rPr>
        <w:t xml:space="preserve"> une dépense de 3 500€ au BP2026.</w:t>
      </w:r>
      <w:r w:rsidR="00AB5197">
        <w:rPr>
          <w:rFonts w:ascii="Calibri Light" w:eastAsia="Times New Roman" w:hAnsi="Calibri Light" w:cs="Calibri Light"/>
          <w:lang w:eastAsia="fr-FR"/>
        </w:rPr>
        <w:t xml:space="preserve">  </w:t>
      </w:r>
    </w:p>
    <w:p w14:paraId="55C39241" w14:textId="77777777" w:rsidR="008A1819" w:rsidRPr="00672AC6" w:rsidRDefault="008A1819" w:rsidP="00A863F8">
      <w:pPr>
        <w:pStyle w:val="Paragraphedeliste"/>
        <w:spacing w:line="240" w:lineRule="auto"/>
        <w:ind w:left="709"/>
        <w:jc w:val="both"/>
        <w:rPr>
          <w:rFonts w:ascii="Calibri Light" w:eastAsia="Times New Roman" w:hAnsi="Calibri Light" w:cs="Calibri Light"/>
          <w:highlight w:val="cyan"/>
          <w:lang w:eastAsia="fr-FR"/>
        </w:rPr>
      </w:pPr>
    </w:p>
    <w:p w14:paraId="743A0F21" w14:textId="4CDB23DE" w:rsidR="008A1819" w:rsidRPr="00672AC6" w:rsidRDefault="008A1819" w:rsidP="00645ACF">
      <w:pPr>
        <w:pStyle w:val="Paragraphedeliste"/>
        <w:spacing w:line="240" w:lineRule="auto"/>
        <w:ind w:left="0"/>
        <w:jc w:val="both"/>
        <w:rPr>
          <w:rFonts w:ascii="Calibri Light" w:eastAsia="Times New Roman" w:hAnsi="Calibri Light" w:cs="Calibri Light"/>
          <w:lang w:eastAsia="fr-FR"/>
        </w:rPr>
      </w:pPr>
      <w:r w:rsidRPr="00672AC6">
        <w:rPr>
          <w:rFonts w:ascii="Calibri Light" w:eastAsia="Times New Roman" w:hAnsi="Calibri Light" w:cs="Calibri Light"/>
          <w:u w:val="single"/>
          <w:lang w:eastAsia="fr-FR"/>
        </w:rPr>
        <w:t>Locations immobilières</w:t>
      </w:r>
      <w:r w:rsidRPr="00672AC6">
        <w:rPr>
          <w:rFonts w:ascii="Calibri Light" w:eastAsia="Times New Roman" w:hAnsi="Calibri Light" w:cs="Calibri Light"/>
          <w:lang w:eastAsia="fr-FR"/>
        </w:rPr>
        <w:t> : le CCAS verse une redevance chaque année pour la salle Dunant, appartenant à Emeraude Habitation (</w:t>
      </w:r>
      <w:r w:rsidR="00D11E9C" w:rsidRPr="00672AC6">
        <w:rPr>
          <w:rFonts w:ascii="Calibri Light" w:eastAsia="Times New Roman" w:hAnsi="Calibri Light" w:cs="Calibri Light"/>
          <w:lang w:eastAsia="fr-FR"/>
        </w:rPr>
        <w:t xml:space="preserve">290 € x 12 mois soit </w:t>
      </w:r>
      <w:r w:rsidRPr="00672AC6">
        <w:rPr>
          <w:rFonts w:ascii="Calibri Light" w:eastAsia="Times New Roman" w:hAnsi="Calibri Light" w:cs="Calibri Light"/>
          <w:lang w:eastAsia="fr-FR"/>
        </w:rPr>
        <w:t>environ 3</w:t>
      </w:r>
      <w:r w:rsidR="00770664" w:rsidRPr="00672AC6">
        <w:rPr>
          <w:rFonts w:ascii="Calibri Light" w:eastAsia="Times New Roman" w:hAnsi="Calibri Light" w:cs="Calibri Light"/>
          <w:lang w:eastAsia="fr-FR"/>
        </w:rPr>
        <w:t> </w:t>
      </w:r>
      <w:r w:rsidRPr="00672AC6">
        <w:rPr>
          <w:rFonts w:ascii="Calibri Light" w:eastAsia="Times New Roman" w:hAnsi="Calibri Light" w:cs="Calibri Light"/>
          <w:lang w:eastAsia="fr-FR"/>
        </w:rPr>
        <w:t>500</w:t>
      </w:r>
      <w:r w:rsidR="00770664" w:rsidRPr="00672AC6">
        <w:rPr>
          <w:rFonts w:ascii="Calibri Light" w:eastAsia="Times New Roman" w:hAnsi="Calibri Light" w:cs="Calibri Light"/>
          <w:lang w:eastAsia="fr-FR"/>
        </w:rPr>
        <w:t xml:space="preserve"> </w:t>
      </w:r>
      <w:r w:rsidRPr="00672AC6">
        <w:rPr>
          <w:rFonts w:ascii="Calibri Light" w:eastAsia="Times New Roman" w:hAnsi="Calibri Light" w:cs="Calibri Light"/>
          <w:lang w:eastAsia="fr-FR"/>
        </w:rPr>
        <w:t>€/an)</w:t>
      </w:r>
      <w:r w:rsidR="00D11E9C" w:rsidRPr="00672AC6">
        <w:rPr>
          <w:rFonts w:ascii="Calibri Light" w:eastAsia="Times New Roman" w:hAnsi="Calibri Light" w:cs="Calibri Light"/>
          <w:lang w:eastAsia="fr-FR"/>
        </w:rPr>
        <w:t>.</w:t>
      </w:r>
    </w:p>
    <w:p w14:paraId="76CEF1BB" w14:textId="77777777" w:rsidR="008A1819" w:rsidRPr="00672AC6" w:rsidRDefault="008A1819" w:rsidP="00A863F8">
      <w:pPr>
        <w:pStyle w:val="Paragraphedeliste"/>
        <w:spacing w:line="240" w:lineRule="auto"/>
        <w:ind w:left="709"/>
        <w:jc w:val="both"/>
        <w:rPr>
          <w:rFonts w:ascii="Calibri Light" w:eastAsia="Times New Roman" w:hAnsi="Calibri Light" w:cs="Calibri Light"/>
          <w:highlight w:val="cyan"/>
          <w:lang w:eastAsia="fr-FR"/>
        </w:rPr>
      </w:pPr>
    </w:p>
    <w:p w14:paraId="1ACA1821" w14:textId="6AE9650B" w:rsidR="0096696D" w:rsidRPr="00F03756" w:rsidRDefault="00F03756" w:rsidP="007C5EDF">
      <w:pPr>
        <w:pStyle w:val="Paragraphedeliste"/>
        <w:spacing w:line="240" w:lineRule="auto"/>
        <w:ind w:left="0"/>
        <w:jc w:val="both"/>
        <w:rPr>
          <w:rFonts w:ascii="Calibri Light" w:eastAsia="Times New Roman" w:hAnsi="Calibri Light" w:cs="Calibri Light"/>
          <w:lang w:eastAsia="fr-FR"/>
        </w:rPr>
      </w:pPr>
      <w:r w:rsidRPr="00F03756">
        <w:rPr>
          <w:rFonts w:ascii="Calibri Light" w:eastAsia="Times New Roman" w:hAnsi="Calibri Light" w:cs="Calibri Light"/>
          <w:lang w:eastAsia="fr-FR"/>
        </w:rPr>
        <w:t>D’autres dépenses de fonctionnement, notamment celles consacrées aux événements et activités du CCAS restent inchangées par rapport aux exercices précédents.</w:t>
      </w:r>
    </w:p>
    <w:p w14:paraId="36FEBB4F" w14:textId="77777777" w:rsidR="00F03756" w:rsidRPr="007C5EDF" w:rsidRDefault="00F03756" w:rsidP="007C5EDF">
      <w:pPr>
        <w:pStyle w:val="Paragraphedeliste"/>
        <w:spacing w:line="240" w:lineRule="auto"/>
        <w:ind w:left="0"/>
        <w:jc w:val="both"/>
        <w:rPr>
          <w:rFonts w:ascii="Calibri Light" w:eastAsia="Times New Roman" w:hAnsi="Calibri Light" w:cs="Calibri Light"/>
          <w:strike/>
          <w:lang w:eastAsia="fr-FR"/>
        </w:rPr>
      </w:pPr>
    </w:p>
    <w:p w14:paraId="7C9AAC6B" w14:textId="77777777" w:rsidR="00BD0C40" w:rsidRPr="00022971" w:rsidRDefault="00BD0C40" w:rsidP="00E45677">
      <w:pPr>
        <w:pStyle w:val="Titre3"/>
        <w:rPr>
          <w:lang w:eastAsia="fr-FR"/>
        </w:rPr>
      </w:pPr>
      <w:bookmarkStart w:id="15" w:name="_Toc213853358"/>
      <w:r w:rsidRPr="00022971">
        <w:rPr>
          <w:lang w:eastAsia="fr-FR"/>
        </w:rPr>
        <w:t>Evolution de la masse salariale</w:t>
      </w:r>
      <w:bookmarkEnd w:id="15"/>
    </w:p>
    <w:p w14:paraId="15F8C4F8" w14:textId="0C662A0B" w:rsidR="008C06DD" w:rsidRDefault="00022971" w:rsidP="006A7568">
      <w:pPr>
        <w:pStyle w:val="Paragraphedeliste"/>
        <w:spacing w:line="240" w:lineRule="auto"/>
        <w:ind w:left="0"/>
        <w:jc w:val="both"/>
        <w:rPr>
          <w:rFonts w:ascii="Calibri Light" w:eastAsia="Times New Roman" w:hAnsi="Calibri Light" w:cs="Calibri Light"/>
          <w:lang w:eastAsia="fr-FR"/>
        </w:rPr>
      </w:pPr>
      <w:r w:rsidRPr="00AD5B45">
        <w:rPr>
          <w:rFonts w:ascii="Calibri Light" w:eastAsia="Times New Roman" w:hAnsi="Calibri Light" w:cs="Calibri Light"/>
          <w:lang w:eastAsia="fr-FR"/>
        </w:rPr>
        <w:t xml:space="preserve">Les charges de personnel </w:t>
      </w:r>
      <w:r w:rsidR="00FF5790" w:rsidRPr="00AD5B45">
        <w:rPr>
          <w:rFonts w:ascii="Calibri Light" w:eastAsia="Times New Roman" w:hAnsi="Calibri Light" w:cs="Calibri Light"/>
          <w:lang w:eastAsia="fr-FR"/>
        </w:rPr>
        <w:t>du CCAS prennent en compte les agents directement employés par le CCAS et</w:t>
      </w:r>
      <w:r w:rsidR="008C06DD">
        <w:rPr>
          <w:rFonts w:ascii="Calibri Light" w:eastAsia="Times New Roman" w:hAnsi="Calibri Light" w:cs="Calibri Light"/>
          <w:lang w:eastAsia="fr-FR"/>
        </w:rPr>
        <w:t xml:space="preserve"> ainsi que les agents </w:t>
      </w:r>
      <w:r w:rsidR="00021E64">
        <w:rPr>
          <w:rFonts w:ascii="Calibri Light" w:eastAsia="Times New Roman" w:hAnsi="Calibri Light" w:cs="Calibri Light"/>
          <w:lang w:eastAsia="fr-FR"/>
        </w:rPr>
        <w:t>Ville</w:t>
      </w:r>
      <w:r w:rsidR="008C06DD">
        <w:rPr>
          <w:rFonts w:ascii="Calibri Light" w:eastAsia="Times New Roman" w:hAnsi="Calibri Light" w:cs="Calibri Light"/>
          <w:lang w:eastAsia="fr-FR"/>
        </w:rPr>
        <w:t xml:space="preserve"> mis à disposition et refacturés. </w:t>
      </w:r>
      <w:r w:rsidR="00021E64">
        <w:rPr>
          <w:rFonts w:ascii="Calibri Light" w:eastAsia="Times New Roman" w:hAnsi="Calibri Light" w:cs="Calibri Light"/>
          <w:lang w:eastAsia="fr-FR"/>
        </w:rPr>
        <w:t xml:space="preserve"> </w:t>
      </w:r>
      <w:r w:rsidR="00F03756">
        <w:rPr>
          <w:rFonts w:ascii="Calibri Light" w:eastAsia="Times New Roman" w:hAnsi="Calibri Light" w:cs="Calibri Light"/>
          <w:lang w:eastAsia="fr-FR"/>
        </w:rPr>
        <w:t xml:space="preserve">Au cours de l’année 2025, un des agents Ville mis à disposition a été intégré au tableau des effectifs du CCAS (d’où la baisse du nombre d’agents ville mis à disposition). Par ailleurs côté CCAS, un agent du SAAD est parti à la retraite et un agent à temps partiel a demandé une disponibilité – ce qui laisse à effectif quasi constant le nombre d’ETP d’agents CCAS avec l’intégration de l’agent anciennement mis à disposition par la Ville. </w:t>
      </w:r>
    </w:p>
    <w:p w14:paraId="5D90D851" w14:textId="77777777" w:rsidR="00F03756" w:rsidRDefault="00F03756" w:rsidP="006A7568">
      <w:pPr>
        <w:pStyle w:val="Paragraphedeliste"/>
        <w:spacing w:line="240" w:lineRule="auto"/>
        <w:ind w:left="0"/>
        <w:jc w:val="both"/>
        <w:rPr>
          <w:rFonts w:ascii="Calibri Light" w:eastAsia="Times New Roman" w:hAnsi="Calibri Light" w:cs="Calibri Light"/>
          <w:lang w:eastAsia="fr-FR"/>
        </w:rPr>
      </w:pPr>
    </w:p>
    <w:p w14:paraId="5E1E7BC3" w14:textId="560B250E" w:rsidR="00F03756" w:rsidRDefault="00F03756" w:rsidP="006A7568">
      <w:pPr>
        <w:pStyle w:val="Paragraphedeliste"/>
        <w:spacing w:line="240" w:lineRule="auto"/>
        <w:ind w:left="0"/>
        <w:jc w:val="both"/>
        <w:rPr>
          <w:rFonts w:ascii="Calibri Light" w:eastAsia="Times New Roman" w:hAnsi="Calibri Light" w:cs="Calibri Light"/>
          <w:lang w:eastAsia="fr-FR"/>
        </w:rPr>
      </w:pPr>
      <w:r>
        <w:rPr>
          <w:rFonts w:ascii="Calibri Light" w:eastAsia="Times New Roman" w:hAnsi="Calibri Light" w:cs="Calibri Light"/>
          <w:lang w:eastAsia="fr-FR"/>
        </w:rPr>
        <w:t xml:space="preserve">La prévision pour l’année 2026 est donc la suivante : </w:t>
      </w:r>
    </w:p>
    <w:tbl>
      <w:tblPr>
        <w:tblStyle w:val="Grilledutableau"/>
        <w:tblW w:w="0" w:type="auto"/>
        <w:tblLook w:val="04A0" w:firstRow="1" w:lastRow="0" w:firstColumn="1" w:lastColumn="0" w:noHBand="0" w:noVBand="1"/>
      </w:tblPr>
      <w:tblGrid>
        <w:gridCol w:w="4106"/>
        <w:gridCol w:w="1843"/>
        <w:gridCol w:w="3679"/>
      </w:tblGrid>
      <w:tr w:rsidR="008C06DD" w14:paraId="54EB7C54" w14:textId="77777777" w:rsidTr="00333A4D">
        <w:tc>
          <w:tcPr>
            <w:tcW w:w="4106" w:type="dxa"/>
          </w:tcPr>
          <w:p w14:paraId="06FC96D4" w14:textId="77777777" w:rsidR="008C06DD" w:rsidRDefault="008C06DD" w:rsidP="00333A4D">
            <w:pPr>
              <w:jc w:val="both"/>
              <w:rPr>
                <w:rFonts w:ascii="Calibri Light" w:eastAsia="Times New Roman" w:hAnsi="Calibri Light" w:cs="Calibri Light"/>
                <w:lang w:eastAsia="fr-FR"/>
              </w:rPr>
            </w:pPr>
          </w:p>
        </w:tc>
        <w:tc>
          <w:tcPr>
            <w:tcW w:w="1843" w:type="dxa"/>
          </w:tcPr>
          <w:p w14:paraId="233307F4" w14:textId="77777777" w:rsidR="008C06DD" w:rsidRDefault="008C06DD" w:rsidP="00333A4D">
            <w:pPr>
              <w:jc w:val="center"/>
              <w:rPr>
                <w:rFonts w:ascii="Calibri Light" w:eastAsia="Times New Roman" w:hAnsi="Calibri Light" w:cs="Calibri Light"/>
                <w:lang w:eastAsia="fr-FR"/>
              </w:rPr>
            </w:pPr>
            <w:r>
              <w:rPr>
                <w:rFonts w:ascii="Calibri Light" w:eastAsia="Times New Roman" w:hAnsi="Calibri Light" w:cs="Calibri Light"/>
                <w:lang w:eastAsia="fr-FR"/>
              </w:rPr>
              <w:t>ETP/Année</w:t>
            </w:r>
          </w:p>
        </w:tc>
        <w:tc>
          <w:tcPr>
            <w:tcW w:w="3679" w:type="dxa"/>
          </w:tcPr>
          <w:p w14:paraId="77C4D34F" w14:textId="77777777" w:rsidR="008C06DD" w:rsidRDefault="008C06DD" w:rsidP="00333A4D">
            <w:pPr>
              <w:jc w:val="center"/>
              <w:rPr>
                <w:rFonts w:ascii="Calibri Light" w:eastAsia="Times New Roman" w:hAnsi="Calibri Light" w:cs="Calibri Light"/>
                <w:lang w:eastAsia="fr-FR"/>
              </w:rPr>
            </w:pPr>
            <w:r>
              <w:rPr>
                <w:rFonts w:ascii="Calibri Light" w:eastAsia="Times New Roman" w:hAnsi="Calibri Light" w:cs="Calibri Light"/>
                <w:lang w:eastAsia="fr-FR"/>
              </w:rPr>
              <w:t>Masse salariale</w:t>
            </w:r>
          </w:p>
        </w:tc>
      </w:tr>
      <w:tr w:rsidR="008C06DD" w14:paraId="0804FEF3" w14:textId="77777777" w:rsidTr="00333A4D">
        <w:tc>
          <w:tcPr>
            <w:tcW w:w="4106" w:type="dxa"/>
          </w:tcPr>
          <w:p w14:paraId="690D7B74" w14:textId="77777777" w:rsidR="008C06DD" w:rsidRDefault="008C06DD" w:rsidP="00333A4D">
            <w:pPr>
              <w:jc w:val="both"/>
              <w:rPr>
                <w:rFonts w:ascii="Calibri Light" w:eastAsia="Times New Roman" w:hAnsi="Calibri Light" w:cs="Calibri Light"/>
                <w:lang w:eastAsia="fr-FR"/>
              </w:rPr>
            </w:pPr>
            <w:r>
              <w:rPr>
                <w:rFonts w:ascii="Calibri Light" w:eastAsia="Times New Roman" w:hAnsi="Calibri Light" w:cs="Calibri Light"/>
                <w:lang w:eastAsia="fr-FR"/>
              </w:rPr>
              <w:t>Agents CCAS Pôle Multifonction</w:t>
            </w:r>
          </w:p>
        </w:tc>
        <w:tc>
          <w:tcPr>
            <w:tcW w:w="1843" w:type="dxa"/>
          </w:tcPr>
          <w:p w14:paraId="45460248" w14:textId="4126D3E9" w:rsidR="008C06DD" w:rsidRDefault="008C06DD" w:rsidP="00333A4D">
            <w:pPr>
              <w:jc w:val="center"/>
              <w:rPr>
                <w:rFonts w:ascii="Calibri Light" w:eastAsia="Times New Roman" w:hAnsi="Calibri Light" w:cs="Calibri Light"/>
                <w:lang w:eastAsia="fr-FR"/>
              </w:rPr>
            </w:pPr>
            <w:r>
              <w:rPr>
                <w:rFonts w:ascii="Calibri Light" w:eastAsia="Times New Roman" w:hAnsi="Calibri Light" w:cs="Calibri Light"/>
                <w:lang w:eastAsia="fr-FR"/>
              </w:rPr>
              <w:t>8.5</w:t>
            </w:r>
          </w:p>
        </w:tc>
        <w:tc>
          <w:tcPr>
            <w:tcW w:w="3679" w:type="dxa"/>
          </w:tcPr>
          <w:p w14:paraId="29D268A3" w14:textId="2CB59DA7" w:rsidR="008C06DD" w:rsidRDefault="008C06DD" w:rsidP="00333A4D">
            <w:pPr>
              <w:jc w:val="center"/>
              <w:rPr>
                <w:rFonts w:ascii="Calibri Light" w:eastAsia="Times New Roman" w:hAnsi="Calibri Light" w:cs="Calibri Light"/>
                <w:lang w:eastAsia="fr-FR"/>
              </w:rPr>
            </w:pPr>
            <w:r>
              <w:rPr>
                <w:rFonts w:ascii="Calibri Light" w:eastAsia="Times New Roman" w:hAnsi="Calibri Light" w:cs="Calibri Light"/>
                <w:lang w:eastAsia="fr-FR"/>
              </w:rPr>
              <w:t>400 800€</w:t>
            </w:r>
          </w:p>
        </w:tc>
      </w:tr>
      <w:tr w:rsidR="008C06DD" w14:paraId="5D2F5ACB" w14:textId="77777777" w:rsidTr="00333A4D">
        <w:tc>
          <w:tcPr>
            <w:tcW w:w="4106" w:type="dxa"/>
          </w:tcPr>
          <w:p w14:paraId="42B55990" w14:textId="1772ED8B" w:rsidR="008C06DD" w:rsidRDefault="008C06DD" w:rsidP="00333A4D">
            <w:pPr>
              <w:jc w:val="both"/>
              <w:rPr>
                <w:rFonts w:ascii="Calibri Light" w:eastAsia="Times New Roman" w:hAnsi="Calibri Light" w:cs="Calibri Light"/>
                <w:lang w:eastAsia="fr-FR"/>
              </w:rPr>
            </w:pPr>
            <w:r>
              <w:rPr>
                <w:rFonts w:ascii="Calibri Light" w:eastAsia="Times New Roman" w:hAnsi="Calibri Light" w:cs="Calibri Light"/>
                <w:lang w:eastAsia="fr-FR"/>
              </w:rPr>
              <w:t xml:space="preserve">Agents Ville </w:t>
            </w:r>
            <w:r w:rsidR="003F0BBD">
              <w:rPr>
                <w:rFonts w:ascii="Calibri Light" w:eastAsia="Times New Roman" w:hAnsi="Calibri Light" w:cs="Calibri Light"/>
                <w:lang w:eastAsia="fr-FR"/>
              </w:rPr>
              <w:t>mis à disposition</w:t>
            </w:r>
          </w:p>
        </w:tc>
        <w:tc>
          <w:tcPr>
            <w:tcW w:w="1843" w:type="dxa"/>
          </w:tcPr>
          <w:p w14:paraId="4239C660" w14:textId="03F1436B" w:rsidR="008C06DD" w:rsidRDefault="008C06DD" w:rsidP="00333A4D">
            <w:pPr>
              <w:jc w:val="center"/>
              <w:rPr>
                <w:rFonts w:ascii="Calibri Light" w:eastAsia="Times New Roman" w:hAnsi="Calibri Light" w:cs="Calibri Light"/>
                <w:lang w:eastAsia="fr-FR"/>
              </w:rPr>
            </w:pPr>
            <w:r>
              <w:rPr>
                <w:rFonts w:ascii="Calibri Light" w:eastAsia="Times New Roman" w:hAnsi="Calibri Light" w:cs="Calibri Light"/>
                <w:lang w:eastAsia="fr-FR"/>
              </w:rPr>
              <w:t>1.5</w:t>
            </w:r>
          </w:p>
        </w:tc>
        <w:tc>
          <w:tcPr>
            <w:tcW w:w="3679" w:type="dxa"/>
          </w:tcPr>
          <w:p w14:paraId="3D7C1B47" w14:textId="0935B9B5" w:rsidR="008C06DD" w:rsidRDefault="008C06DD" w:rsidP="00333A4D">
            <w:pPr>
              <w:jc w:val="center"/>
              <w:rPr>
                <w:rFonts w:ascii="Calibri Light" w:eastAsia="Times New Roman" w:hAnsi="Calibri Light" w:cs="Calibri Light"/>
                <w:lang w:eastAsia="fr-FR"/>
              </w:rPr>
            </w:pPr>
            <w:r>
              <w:rPr>
                <w:rFonts w:ascii="Calibri Light" w:eastAsia="Times New Roman" w:hAnsi="Calibri Light" w:cs="Calibri Light"/>
                <w:lang w:eastAsia="fr-FR"/>
              </w:rPr>
              <w:t>75 000€</w:t>
            </w:r>
          </w:p>
        </w:tc>
      </w:tr>
      <w:tr w:rsidR="008C06DD" w14:paraId="35CBCD70" w14:textId="77777777" w:rsidTr="00333A4D">
        <w:tc>
          <w:tcPr>
            <w:tcW w:w="4106" w:type="dxa"/>
          </w:tcPr>
          <w:p w14:paraId="7CBAFC14" w14:textId="77777777" w:rsidR="008C06DD" w:rsidRDefault="008C06DD" w:rsidP="00333A4D">
            <w:pPr>
              <w:jc w:val="center"/>
              <w:rPr>
                <w:rFonts w:ascii="Calibri Light" w:eastAsia="Times New Roman" w:hAnsi="Calibri Light" w:cs="Calibri Light"/>
                <w:lang w:eastAsia="fr-FR"/>
              </w:rPr>
            </w:pPr>
            <w:r>
              <w:rPr>
                <w:rFonts w:ascii="Calibri Light" w:eastAsia="Times New Roman" w:hAnsi="Calibri Light" w:cs="Calibri Light"/>
                <w:lang w:eastAsia="fr-FR"/>
              </w:rPr>
              <w:t>Total</w:t>
            </w:r>
          </w:p>
        </w:tc>
        <w:tc>
          <w:tcPr>
            <w:tcW w:w="1843" w:type="dxa"/>
          </w:tcPr>
          <w:p w14:paraId="2C657F68" w14:textId="4F6615B0" w:rsidR="008C06DD" w:rsidRDefault="008C06DD" w:rsidP="00333A4D">
            <w:pPr>
              <w:jc w:val="center"/>
              <w:rPr>
                <w:rFonts w:ascii="Calibri Light" w:eastAsia="Times New Roman" w:hAnsi="Calibri Light" w:cs="Calibri Light"/>
                <w:lang w:eastAsia="fr-FR"/>
              </w:rPr>
            </w:pPr>
            <w:r>
              <w:rPr>
                <w:rFonts w:ascii="Calibri Light" w:eastAsia="Times New Roman" w:hAnsi="Calibri Light" w:cs="Calibri Light"/>
                <w:lang w:eastAsia="fr-FR"/>
              </w:rPr>
              <w:t>10</w:t>
            </w:r>
          </w:p>
        </w:tc>
        <w:tc>
          <w:tcPr>
            <w:tcW w:w="3679" w:type="dxa"/>
          </w:tcPr>
          <w:p w14:paraId="4CD5813D" w14:textId="6BF1B688" w:rsidR="008C06DD" w:rsidRDefault="008C06DD" w:rsidP="00333A4D">
            <w:pPr>
              <w:jc w:val="center"/>
              <w:rPr>
                <w:rFonts w:ascii="Calibri Light" w:eastAsia="Times New Roman" w:hAnsi="Calibri Light" w:cs="Calibri Light"/>
                <w:lang w:eastAsia="fr-FR"/>
              </w:rPr>
            </w:pPr>
            <w:r>
              <w:rPr>
                <w:rFonts w:ascii="Calibri Light" w:eastAsia="Times New Roman" w:hAnsi="Calibri Light" w:cs="Calibri Light"/>
                <w:lang w:eastAsia="fr-FR"/>
              </w:rPr>
              <w:t>475 800€</w:t>
            </w:r>
          </w:p>
        </w:tc>
      </w:tr>
    </w:tbl>
    <w:p w14:paraId="0A194870" w14:textId="77777777" w:rsidR="008C06DD" w:rsidRPr="00AD5B45" w:rsidRDefault="008C06DD" w:rsidP="00022971">
      <w:pPr>
        <w:spacing w:after="0" w:line="240" w:lineRule="auto"/>
        <w:jc w:val="both"/>
        <w:rPr>
          <w:rFonts w:ascii="Calibri Light" w:eastAsia="Times New Roman" w:hAnsi="Calibri Light" w:cs="Calibri Light"/>
          <w:lang w:eastAsia="fr-FR"/>
        </w:rPr>
      </w:pPr>
    </w:p>
    <w:p w14:paraId="1429A83C" w14:textId="07A8333A" w:rsidR="006A7568" w:rsidRDefault="006A7568" w:rsidP="006A7568">
      <w:pPr>
        <w:spacing w:after="0" w:line="240" w:lineRule="auto"/>
        <w:jc w:val="both"/>
        <w:rPr>
          <w:rFonts w:ascii="Calibri Light" w:eastAsia="Times New Roman" w:hAnsi="Calibri Light" w:cs="Calibri Light"/>
          <w:lang w:eastAsia="fr-FR"/>
        </w:rPr>
      </w:pPr>
      <w:r>
        <w:rPr>
          <w:rFonts w:ascii="Calibri Light" w:eastAsia="Times New Roman" w:hAnsi="Calibri Light" w:cs="Calibri Light"/>
          <w:lang w:eastAsia="fr-FR"/>
        </w:rPr>
        <w:t>L’</w:t>
      </w:r>
      <w:r w:rsidRPr="00AD5B45">
        <w:rPr>
          <w:rFonts w:ascii="Calibri Light" w:eastAsia="Times New Roman" w:hAnsi="Calibri Light" w:cs="Calibri Light"/>
          <w:lang w:eastAsia="fr-FR"/>
        </w:rPr>
        <w:t xml:space="preserve">augmentation d’environ </w:t>
      </w:r>
      <w:r>
        <w:rPr>
          <w:rFonts w:ascii="Calibri Light" w:eastAsia="Times New Roman" w:hAnsi="Calibri Light" w:cs="Calibri Light"/>
          <w:lang w:eastAsia="fr-FR"/>
        </w:rPr>
        <w:t>9</w:t>
      </w:r>
      <w:r w:rsidRPr="00AD5B45">
        <w:rPr>
          <w:rFonts w:ascii="Calibri Light" w:eastAsia="Times New Roman" w:hAnsi="Calibri Light" w:cs="Calibri Light"/>
          <w:lang w:eastAsia="fr-FR"/>
        </w:rPr>
        <w:t xml:space="preserve">% de la masse salariale </w:t>
      </w:r>
      <w:r>
        <w:rPr>
          <w:rFonts w:ascii="Calibri Light" w:eastAsia="Times New Roman" w:hAnsi="Calibri Light" w:cs="Calibri Light"/>
          <w:lang w:eastAsia="fr-FR"/>
        </w:rPr>
        <w:t>est</w:t>
      </w:r>
      <w:r w:rsidRPr="00AD5B45">
        <w:rPr>
          <w:rFonts w:ascii="Calibri Light" w:eastAsia="Times New Roman" w:hAnsi="Calibri Light" w:cs="Calibri Light"/>
          <w:lang w:eastAsia="fr-FR"/>
        </w:rPr>
        <w:t xml:space="preserve"> prise en compte dans la construction budgétaire</w:t>
      </w:r>
      <w:r>
        <w:rPr>
          <w:rFonts w:ascii="Calibri Light" w:eastAsia="Times New Roman" w:hAnsi="Calibri Light" w:cs="Calibri Light"/>
          <w:lang w:eastAsia="fr-FR"/>
        </w:rPr>
        <w:t> ; du fait de l’augmentation de la CNRACL et de la cotation des postes RIFSEEP</w:t>
      </w:r>
      <w:r w:rsidRPr="00AD5B45">
        <w:rPr>
          <w:rFonts w:ascii="Calibri Light" w:eastAsia="Times New Roman" w:hAnsi="Calibri Light" w:cs="Calibri Light"/>
          <w:lang w:eastAsia="fr-FR"/>
        </w:rPr>
        <w:t>.</w:t>
      </w:r>
    </w:p>
    <w:p w14:paraId="3BA4ACEE" w14:textId="77777777" w:rsidR="00F03756" w:rsidRDefault="00F03756" w:rsidP="006A7568">
      <w:pPr>
        <w:spacing w:after="0" w:line="240" w:lineRule="auto"/>
        <w:jc w:val="both"/>
        <w:rPr>
          <w:rFonts w:ascii="Calibri Light" w:eastAsia="Times New Roman" w:hAnsi="Calibri Light" w:cs="Calibri Light"/>
          <w:lang w:eastAsia="fr-FR"/>
        </w:rPr>
      </w:pPr>
    </w:p>
    <w:p w14:paraId="5F252C9F" w14:textId="2C08BCEA" w:rsidR="006A7568" w:rsidRDefault="006A7568" w:rsidP="006A7568">
      <w:pPr>
        <w:spacing w:after="0" w:line="240" w:lineRule="auto"/>
        <w:jc w:val="both"/>
        <w:rPr>
          <w:rFonts w:ascii="Calibri Light" w:eastAsia="Times New Roman" w:hAnsi="Calibri Light" w:cs="Calibri Light"/>
          <w:lang w:eastAsia="fr-FR"/>
        </w:rPr>
      </w:pPr>
      <w:r>
        <w:rPr>
          <w:rFonts w:ascii="Calibri Light" w:eastAsia="Times New Roman" w:hAnsi="Calibri Light" w:cs="Calibri Light"/>
          <w:lang w:eastAsia="fr-FR"/>
        </w:rPr>
        <w:t xml:space="preserve">Pour autant, la réorganisation des services et des missions suites ont permis de maintenir </w:t>
      </w:r>
      <w:r w:rsidR="00F03756">
        <w:rPr>
          <w:rFonts w:ascii="Calibri Light" w:eastAsia="Times New Roman" w:hAnsi="Calibri Light" w:cs="Calibri Light"/>
          <w:lang w:eastAsia="fr-FR"/>
        </w:rPr>
        <w:t>les</w:t>
      </w:r>
      <w:r>
        <w:rPr>
          <w:rFonts w:ascii="Calibri Light" w:eastAsia="Times New Roman" w:hAnsi="Calibri Light" w:cs="Calibri Light"/>
          <w:lang w:eastAsia="fr-FR"/>
        </w:rPr>
        <w:t xml:space="preserve"> actions </w:t>
      </w:r>
      <w:r w:rsidR="001A4447">
        <w:rPr>
          <w:rFonts w:ascii="Calibri Light" w:eastAsia="Times New Roman" w:hAnsi="Calibri Light" w:cs="Calibri Light"/>
          <w:lang w:eastAsia="fr-FR"/>
        </w:rPr>
        <w:t xml:space="preserve">tout </w:t>
      </w:r>
      <w:r>
        <w:rPr>
          <w:rFonts w:ascii="Calibri Light" w:eastAsia="Times New Roman" w:hAnsi="Calibri Light" w:cs="Calibri Light"/>
          <w:lang w:eastAsia="fr-FR"/>
        </w:rPr>
        <w:t xml:space="preserve">en conservant une masse salariale stable. </w:t>
      </w:r>
    </w:p>
    <w:p w14:paraId="3CDE3988" w14:textId="77777777" w:rsidR="00FF5790" w:rsidRDefault="00FF5790" w:rsidP="00022971">
      <w:pPr>
        <w:spacing w:after="0" w:line="240" w:lineRule="auto"/>
        <w:jc w:val="both"/>
        <w:rPr>
          <w:rFonts w:ascii="Calibri Light" w:eastAsia="Times New Roman" w:hAnsi="Calibri Light" w:cs="Calibri Light"/>
          <w:lang w:eastAsia="fr-FR"/>
        </w:rPr>
      </w:pPr>
    </w:p>
    <w:p w14:paraId="6AAB92E0" w14:textId="77777777" w:rsidR="00022971" w:rsidRPr="00F517FD" w:rsidRDefault="00022971" w:rsidP="00022971">
      <w:pPr>
        <w:spacing w:after="0" w:line="240" w:lineRule="auto"/>
        <w:jc w:val="both"/>
        <w:rPr>
          <w:rFonts w:ascii="Calibri Light" w:eastAsia="Times New Roman" w:hAnsi="Calibri Light" w:cs="Calibri Light"/>
          <w:highlight w:val="cyan"/>
          <w:lang w:eastAsia="fr-FR"/>
        </w:rPr>
      </w:pPr>
    </w:p>
    <w:p w14:paraId="6C71D033" w14:textId="23277FB8" w:rsidR="00BD0C40" w:rsidRPr="00873934" w:rsidRDefault="00A20B22" w:rsidP="00873934">
      <w:pPr>
        <w:pStyle w:val="Titre2"/>
        <w:rPr>
          <w:lang w:eastAsia="fr-FR"/>
        </w:rPr>
      </w:pPr>
      <w:bookmarkStart w:id="16" w:name="_Toc213853359"/>
      <w:r>
        <w:rPr>
          <w:lang w:eastAsia="fr-FR"/>
        </w:rPr>
        <w:t>P</w:t>
      </w:r>
      <w:r w:rsidR="00BD0C40" w:rsidRPr="00873934">
        <w:rPr>
          <w:lang w:eastAsia="fr-FR"/>
        </w:rPr>
        <w:t xml:space="preserve">rojets </w:t>
      </w:r>
      <w:r w:rsidR="00BD0C40" w:rsidRPr="00873934">
        <w:t>d’investissement</w:t>
      </w:r>
      <w:r w:rsidR="00BD0C40" w:rsidRPr="00873934">
        <w:rPr>
          <w:lang w:eastAsia="fr-FR"/>
        </w:rPr>
        <w:t xml:space="preserve"> </w:t>
      </w:r>
      <w:r w:rsidR="001C2C6F" w:rsidRPr="00873934">
        <w:rPr>
          <w:lang w:eastAsia="fr-FR"/>
        </w:rPr>
        <w:t>202</w:t>
      </w:r>
      <w:r w:rsidR="002F0DFD">
        <w:rPr>
          <w:lang w:eastAsia="fr-FR"/>
        </w:rPr>
        <w:t>6</w:t>
      </w:r>
      <w:bookmarkEnd w:id="16"/>
      <w:r w:rsidR="001C2C6F" w:rsidRPr="00873934">
        <w:rPr>
          <w:lang w:eastAsia="fr-FR"/>
        </w:rPr>
        <w:t xml:space="preserve"> </w:t>
      </w:r>
    </w:p>
    <w:p w14:paraId="5C8B2F08" w14:textId="77777777" w:rsidR="003C73F8" w:rsidRPr="003C73F8" w:rsidRDefault="003C73F8" w:rsidP="00873934">
      <w:pPr>
        <w:pStyle w:val="Paragraphedeliste"/>
        <w:ind w:left="0"/>
        <w:jc w:val="both"/>
        <w:rPr>
          <w:rFonts w:ascii="Calibri Light" w:eastAsia="Times New Roman" w:hAnsi="Calibri Light" w:cs="Calibri Light"/>
          <w:lang w:eastAsia="fr-FR"/>
        </w:rPr>
      </w:pPr>
    </w:p>
    <w:p w14:paraId="0C208F20" w14:textId="383C0E5C" w:rsidR="00BC199C" w:rsidRDefault="00BD0C40" w:rsidP="005C0C77">
      <w:pPr>
        <w:pStyle w:val="Paragraphedeliste"/>
        <w:spacing w:line="240" w:lineRule="auto"/>
        <w:ind w:left="0"/>
        <w:jc w:val="both"/>
        <w:rPr>
          <w:rFonts w:ascii="Calibri Light" w:eastAsia="Times New Roman" w:hAnsi="Calibri Light" w:cs="Calibri Light"/>
          <w:lang w:eastAsia="fr-FR"/>
        </w:rPr>
      </w:pPr>
      <w:r w:rsidRPr="00A21594">
        <w:rPr>
          <w:rFonts w:ascii="Calibri Light" w:eastAsia="Times New Roman" w:hAnsi="Calibri Light" w:cs="Calibri Light"/>
          <w:lang w:eastAsia="fr-FR"/>
        </w:rPr>
        <w:t>L</w:t>
      </w:r>
      <w:r w:rsidR="005C0C77">
        <w:rPr>
          <w:rFonts w:ascii="Calibri Light" w:eastAsia="Times New Roman" w:hAnsi="Calibri Light" w:cs="Calibri Light"/>
          <w:lang w:eastAsia="fr-FR"/>
        </w:rPr>
        <w:t>e CCAS dispose de budgets d’investissement principalement affectés au renouvellement de matériels destinés au travail des agents</w:t>
      </w:r>
      <w:r w:rsidR="000879EF">
        <w:rPr>
          <w:rFonts w:ascii="Calibri Light" w:eastAsia="Times New Roman" w:hAnsi="Calibri Light" w:cs="Calibri Light"/>
          <w:lang w:eastAsia="fr-FR"/>
        </w:rPr>
        <w:t xml:space="preserve"> dans le cadre de l’organisation des actions sociales </w:t>
      </w:r>
      <w:r w:rsidR="004808ED">
        <w:rPr>
          <w:rFonts w:ascii="Calibri Light" w:eastAsia="Times New Roman" w:hAnsi="Calibri Light" w:cs="Calibri Light"/>
          <w:lang w:eastAsia="fr-FR"/>
        </w:rPr>
        <w:t>auxquels s’ajouteront les restes à réaliser 202</w:t>
      </w:r>
      <w:r w:rsidR="00021E64">
        <w:rPr>
          <w:rFonts w:ascii="Calibri Light" w:eastAsia="Times New Roman" w:hAnsi="Calibri Light" w:cs="Calibri Light"/>
          <w:lang w:eastAsia="fr-FR"/>
        </w:rPr>
        <w:t>5</w:t>
      </w:r>
      <w:r w:rsidR="00FF5790">
        <w:rPr>
          <w:rFonts w:ascii="Calibri Light" w:eastAsia="Times New Roman" w:hAnsi="Calibri Light" w:cs="Calibri Light"/>
          <w:lang w:eastAsia="fr-FR"/>
        </w:rPr>
        <w:t>.</w:t>
      </w:r>
    </w:p>
    <w:p w14:paraId="38247009" w14:textId="77777777" w:rsidR="002255F4" w:rsidRDefault="002255F4" w:rsidP="005C0C77">
      <w:pPr>
        <w:pStyle w:val="Paragraphedeliste"/>
        <w:spacing w:line="240" w:lineRule="auto"/>
        <w:ind w:left="0"/>
        <w:jc w:val="both"/>
        <w:rPr>
          <w:rFonts w:ascii="Calibri Light" w:eastAsia="Times New Roman" w:hAnsi="Calibri Light" w:cs="Calibri Light"/>
          <w:lang w:eastAsia="fr-FR"/>
        </w:rPr>
      </w:pPr>
    </w:p>
    <w:p w14:paraId="75B8260B" w14:textId="4F7B777A" w:rsidR="000879EF" w:rsidRDefault="002255F4" w:rsidP="005C0C77">
      <w:pPr>
        <w:pStyle w:val="Paragraphedeliste"/>
        <w:spacing w:line="240" w:lineRule="auto"/>
        <w:ind w:left="0"/>
        <w:jc w:val="both"/>
        <w:rPr>
          <w:rFonts w:ascii="Calibri Light" w:eastAsia="Times New Roman" w:hAnsi="Calibri Light" w:cs="Calibri Light"/>
          <w:lang w:eastAsia="fr-FR"/>
        </w:rPr>
      </w:pPr>
      <w:r>
        <w:rPr>
          <w:rFonts w:ascii="Calibri Light" w:eastAsia="Times New Roman" w:hAnsi="Calibri Light" w:cs="Calibri Light"/>
          <w:lang w:eastAsia="fr-FR"/>
        </w:rPr>
        <w:t>Le CCAS pourra compter en 202</w:t>
      </w:r>
      <w:r w:rsidR="00021E64">
        <w:rPr>
          <w:rFonts w:ascii="Calibri Light" w:eastAsia="Times New Roman" w:hAnsi="Calibri Light" w:cs="Calibri Light"/>
          <w:lang w:eastAsia="fr-FR"/>
        </w:rPr>
        <w:t>6</w:t>
      </w:r>
      <w:r>
        <w:rPr>
          <w:rFonts w:ascii="Calibri Light" w:eastAsia="Times New Roman" w:hAnsi="Calibri Light" w:cs="Calibri Light"/>
          <w:lang w:eastAsia="fr-FR"/>
        </w:rPr>
        <w:t xml:space="preserve"> sur une enveloppe </w:t>
      </w:r>
      <w:r w:rsidR="00865BDC" w:rsidRPr="000B607A">
        <w:rPr>
          <w:rFonts w:ascii="Calibri Light" w:eastAsia="Times New Roman" w:hAnsi="Calibri Light" w:cs="Calibri Light"/>
          <w:lang w:eastAsia="fr-FR"/>
        </w:rPr>
        <w:t>d’investissement 48</w:t>
      </w:r>
      <w:r w:rsidR="00770664" w:rsidRPr="000B607A">
        <w:rPr>
          <w:rFonts w:ascii="Calibri Light" w:eastAsia="Times New Roman" w:hAnsi="Calibri Light" w:cs="Calibri Light"/>
          <w:lang w:eastAsia="fr-FR"/>
        </w:rPr>
        <w:t> </w:t>
      </w:r>
      <w:r w:rsidRPr="000B607A">
        <w:rPr>
          <w:rFonts w:ascii="Calibri Light" w:eastAsia="Times New Roman" w:hAnsi="Calibri Light" w:cs="Calibri Light"/>
          <w:lang w:eastAsia="fr-FR"/>
        </w:rPr>
        <w:t>000</w:t>
      </w:r>
      <w:r w:rsidR="00770664" w:rsidRPr="000B607A">
        <w:rPr>
          <w:rFonts w:ascii="Calibri Light" w:eastAsia="Times New Roman" w:hAnsi="Calibri Light" w:cs="Calibri Light"/>
          <w:lang w:eastAsia="fr-FR"/>
        </w:rPr>
        <w:t xml:space="preserve"> </w:t>
      </w:r>
      <w:r w:rsidRPr="000B607A">
        <w:rPr>
          <w:rFonts w:ascii="Calibri Light" w:eastAsia="Times New Roman" w:hAnsi="Calibri Light" w:cs="Calibri Light"/>
          <w:lang w:eastAsia="fr-FR"/>
        </w:rPr>
        <w:t>€.</w:t>
      </w:r>
    </w:p>
    <w:p w14:paraId="7AE7626E" w14:textId="77777777" w:rsidR="00865BDC" w:rsidRDefault="00865BDC" w:rsidP="005C0C77">
      <w:pPr>
        <w:pStyle w:val="Paragraphedeliste"/>
        <w:spacing w:line="240" w:lineRule="auto"/>
        <w:ind w:left="0"/>
        <w:jc w:val="both"/>
        <w:rPr>
          <w:rFonts w:ascii="Calibri Light" w:eastAsia="Times New Roman" w:hAnsi="Calibri Light" w:cs="Calibri Light"/>
          <w:lang w:eastAsia="fr-FR"/>
        </w:rPr>
      </w:pPr>
    </w:p>
    <w:p w14:paraId="6FD1962E" w14:textId="3595B7E1" w:rsidR="00865BDC" w:rsidRDefault="00865BDC" w:rsidP="005C0C77">
      <w:pPr>
        <w:pStyle w:val="Paragraphedeliste"/>
        <w:spacing w:line="240" w:lineRule="auto"/>
        <w:ind w:left="0"/>
        <w:jc w:val="both"/>
        <w:rPr>
          <w:rFonts w:ascii="Calibri Light" w:eastAsia="Times New Roman" w:hAnsi="Calibri Light" w:cs="Calibri Light"/>
          <w:lang w:eastAsia="fr-FR"/>
        </w:rPr>
      </w:pPr>
      <w:r>
        <w:rPr>
          <w:rFonts w:ascii="Calibri Light" w:eastAsia="Times New Roman" w:hAnsi="Calibri Light" w:cs="Calibri Light"/>
          <w:lang w:eastAsia="fr-FR"/>
        </w:rPr>
        <w:t>Report des investissements non effectués en 2025</w:t>
      </w:r>
    </w:p>
    <w:p w14:paraId="3E9AD946" w14:textId="77777777" w:rsidR="00865BDC" w:rsidRPr="00865BDC" w:rsidRDefault="00865BDC" w:rsidP="00865BDC">
      <w:pPr>
        <w:pStyle w:val="Paragraphedeliste"/>
        <w:numPr>
          <w:ilvl w:val="0"/>
          <w:numId w:val="15"/>
        </w:numPr>
        <w:spacing w:line="240" w:lineRule="auto"/>
        <w:jc w:val="both"/>
        <w:rPr>
          <w:rFonts w:ascii="Calibri Light" w:eastAsia="Times New Roman" w:hAnsi="Calibri Light" w:cs="Calibri Light"/>
          <w:lang w:eastAsia="fr-FR"/>
        </w:rPr>
      </w:pPr>
      <w:r w:rsidRPr="00865BDC">
        <w:rPr>
          <w:rFonts w:ascii="Calibri Light" w:eastAsia="Times New Roman" w:hAnsi="Calibri Light" w:cs="Calibri Light"/>
          <w:lang w:eastAsia="fr-FR"/>
        </w:rPr>
        <w:t>Changement du standard et du matériel de téléphonie (4 000 € prévus au BP)</w:t>
      </w:r>
    </w:p>
    <w:p w14:paraId="558E242D" w14:textId="77777777" w:rsidR="00865BDC" w:rsidRDefault="00865BDC" w:rsidP="00865BDC">
      <w:pPr>
        <w:pStyle w:val="Paragraphedeliste"/>
        <w:numPr>
          <w:ilvl w:val="0"/>
          <w:numId w:val="15"/>
        </w:numPr>
        <w:spacing w:line="240" w:lineRule="auto"/>
        <w:jc w:val="both"/>
        <w:rPr>
          <w:rFonts w:ascii="Calibri Light" w:eastAsia="Times New Roman" w:hAnsi="Calibri Light" w:cs="Calibri Light"/>
          <w:lang w:eastAsia="fr-FR"/>
        </w:rPr>
      </w:pPr>
      <w:r w:rsidRPr="00865BDC">
        <w:rPr>
          <w:rFonts w:ascii="Calibri Light" w:eastAsia="Times New Roman" w:hAnsi="Calibri Light" w:cs="Calibri Light"/>
          <w:lang w:eastAsia="fr-FR"/>
        </w:rPr>
        <w:t>Renouvellement minibus 9 places (prévus 44 000 € au BP)</w:t>
      </w:r>
    </w:p>
    <w:p w14:paraId="76CD574B" w14:textId="48A5E8AE" w:rsidR="00865BDC" w:rsidRPr="00865BDC" w:rsidRDefault="00865BDC" w:rsidP="00865BDC">
      <w:pPr>
        <w:spacing w:line="240" w:lineRule="auto"/>
        <w:jc w:val="both"/>
        <w:rPr>
          <w:rFonts w:ascii="Calibri Light" w:eastAsia="Times New Roman" w:hAnsi="Calibri Light" w:cs="Calibri Light"/>
          <w:lang w:eastAsia="fr-FR"/>
        </w:rPr>
      </w:pPr>
      <w:r>
        <w:rPr>
          <w:rFonts w:ascii="Calibri Light" w:eastAsia="Times New Roman" w:hAnsi="Calibri Light" w:cs="Calibri Light"/>
          <w:lang w:eastAsia="fr-FR"/>
        </w:rPr>
        <w:t>Selon le résultat de l’exercice budgétaire du CCAS 2025, un éventuel excédent permettrait de porter l’enveloppe à 50 000€. Nous projetons donc l’investissement supplémentaire suivant :</w:t>
      </w:r>
    </w:p>
    <w:p w14:paraId="4325D260" w14:textId="6048B471" w:rsidR="004314EC" w:rsidRDefault="00645ACF" w:rsidP="00645ACF">
      <w:pPr>
        <w:pStyle w:val="Paragraphedeliste"/>
        <w:numPr>
          <w:ilvl w:val="0"/>
          <w:numId w:val="12"/>
        </w:numPr>
        <w:spacing w:line="240" w:lineRule="auto"/>
        <w:jc w:val="both"/>
        <w:rPr>
          <w:rFonts w:ascii="Calibri Light" w:eastAsia="Times New Roman" w:hAnsi="Calibri Light" w:cs="Calibri Light"/>
          <w:lang w:eastAsia="fr-FR"/>
        </w:rPr>
      </w:pPr>
      <w:r w:rsidRPr="00645ACF">
        <w:rPr>
          <w:rFonts w:ascii="Calibri Light" w:eastAsia="Times New Roman" w:hAnsi="Calibri Light" w:cs="Calibri Light"/>
          <w:lang w:eastAsia="fr-FR"/>
        </w:rPr>
        <w:t>A</w:t>
      </w:r>
      <w:r w:rsidR="00FF5790" w:rsidRPr="00645ACF">
        <w:rPr>
          <w:rFonts w:ascii="Calibri Light" w:eastAsia="Times New Roman" w:hAnsi="Calibri Light" w:cs="Calibri Light"/>
          <w:lang w:eastAsia="fr-FR"/>
        </w:rPr>
        <w:t>ménagement de bureaux ou petit mobilier pour les agents du CCAS</w:t>
      </w:r>
      <w:r w:rsidR="0036659C" w:rsidRPr="00645ACF">
        <w:rPr>
          <w:rFonts w:ascii="Calibri Light" w:eastAsia="Times New Roman" w:hAnsi="Calibri Light" w:cs="Calibri Light"/>
          <w:lang w:eastAsia="fr-FR"/>
        </w:rPr>
        <w:t xml:space="preserve"> (2</w:t>
      </w:r>
      <w:r w:rsidR="00770664">
        <w:rPr>
          <w:rFonts w:ascii="Calibri Light" w:eastAsia="Times New Roman" w:hAnsi="Calibri Light" w:cs="Calibri Light"/>
          <w:lang w:eastAsia="fr-FR"/>
        </w:rPr>
        <w:t> </w:t>
      </w:r>
      <w:r w:rsidR="0036659C" w:rsidRPr="00645ACF">
        <w:rPr>
          <w:rFonts w:ascii="Calibri Light" w:eastAsia="Times New Roman" w:hAnsi="Calibri Light" w:cs="Calibri Light"/>
          <w:lang w:eastAsia="fr-FR"/>
        </w:rPr>
        <w:t>000</w:t>
      </w:r>
      <w:r w:rsidR="00770664">
        <w:rPr>
          <w:rFonts w:ascii="Calibri Light" w:eastAsia="Times New Roman" w:hAnsi="Calibri Light" w:cs="Calibri Light"/>
          <w:lang w:eastAsia="fr-FR"/>
        </w:rPr>
        <w:t xml:space="preserve"> </w:t>
      </w:r>
      <w:r w:rsidR="0036659C" w:rsidRPr="00645ACF">
        <w:rPr>
          <w:rFonts w:ascii="Calibri Light" w:eastAsia="Times New Roman" w:hAnsi="Calibri Light" w:cs="Calibri Light"/>
          <w:lang w:eastAsia="fr-FR"/>
        </w:rPr>
        <w:t>€)</w:t>
      </w:r>
    </w:p>
    <w:p w14:paraId="0673182E" w14:textId="6ABF8C1A" w:rsidR="003F763E" w:rsidRPr="00865BDC" w:rsidRDefault="00865BDC" w:rsidP="00865BDC">
      <w:pPr>
        <w:spacing w:line="240" w:lineRule="auto"/>
        <w:jc w:val="both"/>
        <w:rPr>
          <w:rFonts w:ascii="Calibri Light" w:eastAsia="Times New Roman" w:hAnsi="Calibri Light" w:cs="Calibri Light"/>
          <w:lang w:eastAsia="fr-FR"/>
        </w:rPr>
      </w:pPr>
      <w:r w:rsidRPr="00372E22">
        <w:rPr>
          <w:rFonts w:ascii="Calibri Light" w:eastAsia="Times New Roman" w:hAnsi="Calibri Light" w:cs="Calibri Light"/>
          <w:lang w:eastAsia="fr-FR"/>
        </w:rPr>
        <w:t xml:space="preserve">Ces montants seront amenés à être réajustés en fonction de la finalisation </w:t>
      </w:r>
      <w:r>
        <w:rPr>
          <w:rFonts w:ascii="Calibri Light" w:eastAsia="Times New Roman" w:hAnsi="Calibri Light" w:cs="Calibri Light"/>
          <w:lang w:eastAsia="fr-FR"/>
        </w:rPr>
        <w:t>du réalisé 202</w:t>
      </w:r>
      <w:r w:rsidR="005E4921">
        <w:rPr>
          <w:rFonts w:ascii="Calibri Light" w:eastAsia="Times New Roman" w:hAnsi="Calibri Light" w:cs="Calibri Light"/>
          <w:lang w:eastAsia="fr-FR"/>
        </w:rPr>
        <w:t>5</w:t>
      </w:r>
      <w:r>
        <w:rPr>
          <w:rFonts w:ascii="Calibri Light" w:eastAsia="Times New Roman" w:hAnsi="Calibri Light" w:cs="Calibri Light"/>
          <w:lang w:eastAsia="fr-FR"/>
        </w:rPr>
        <w:t xml:space="preserve"> et du choix de l’affectation du résultat par le Conseil d’Administration. </w:t>
      </w:r>
      <w:r w:rsidR="003F763E" w:rsidRPr="00865BDC">
        <w:rPr>
          <w:rFonts w:ascii="Calibri Light" w:eastAsia="Times New Roman" w:hAnsi="Calibri Light" w:cs="Calibri Light"/>
          <w:lang w:eastAsia="fr-FR"/>
        </w:rPr>
        <w:br w:type="page"/>
      </w:r>
    </w:p>
    <w:p w14:paraId="2720CBB7" w14:textId="18BB46AB" w:rsidR="003C73F8" w:rsidRPr="00A20B22" w:rsidRDefault="003C73F8" w:rsidP="003851C9">
      <w:pPr>
        <w:pStyle w:val="Titre1"/>
        <w:rPr>
          <w:rFonts w:eastAsia="Times New Roman"/>
          <w:lang w:eastAsia="fr-FR"/>
        </w:rPr>
      </w:pPr>
      <w:bookmarkStart w:id="17" w:name="_Toc213853360"/>
      <w:r w:rsidRPr="004F6CC0">
        <w:lastRenderedPageBreak/>
        <w:t xml:space="preserve">SITUATION FINANCIERE </w:t>
      </w:r>
      <w:r w:rsidR="00A20B22">
        <w:t xml:space="preserve">2025 </w:t>
      </w:r>
      <w:r w:rsidRPr="004F6CC0">
        <w:t>DE LA RESIDENCE AUTONOMIE DUPUY</w:t>
      </w:r>
      <w:bookmarkEnd w:id="17"/>
      <w:r w:rsidRPr="004F6CC0">
        <w:t xml:space="preserve"> </w:t>
      </w:r>
    </w:p>
    <w:p w14:paraId="0F4FE218" w14:textId="77777777" w:rsidR="00F03756" w:rsidRDefault="00F03756" w:rsidP="00372E22">
      <w:pPr>
        <w:spacing w:line="240" w:lineRule="auto"/>
        <w:jc w:val="both"/>
        <w:rPr>
          <w:rFonts w:ascii="Calibri Light" w:eastAsia="Times New Roman" w:hAnsi="Calibri Light" w:cs="Calibri Light"/>
          <w:lang w:eastAsia="fr-FR"/>
        </w:rPr>
      </w:pPr>
    </w:p>
    <w:p w14:paraId="1FA7A9C7" w14:textId="04997CA8" w:rsidR="00372E22" w:rsidRPr="00ED192A" w:rsidRDefault="00372E22" w:rsidP="00372E22">
      <w:pPr>
        <w:spacing w:line="240" w:lineRule="auto"/>
        <w:jc w:val="both"/>
        <w:rPr>
          <w:rFonts w:ascii="Calibri Light" w:eastAsia="Times New Roman" w:hAnsi="Calibri Light" w:cs="Calibri Light"/>
          <w:lang w:eastAsia="fr-FR"/>
        </w:rPr>
      </w:pPr>
      <w:r w:rsidRPr="00ED192A">
        <w:rPr>
          <w:rFonts w:ascii="Calibri Light" w:eastAsia="Times New Roman" w:hAnsi="Calibri Light" w:cs="Calibri Light"/>
          <w:lang w:eastAsia="fr-FR"/>
        </w:rPr>
        <w:t xml:space="preserve">La résidence autonomie Dupuy, établissement d’accueil de personnes âgées autonomes, est gérée dans le cadre d’un budget annexe du CCAS. </w:t>
      </w:r>
    </w:p>
    <w:p w14:paraId="7E290D9B" w14:textId="77777777" w:rsidR="00372E22" w:rsidRDefault="00372E22" w:rsidP="00372E22">
      <w:pPr>
        <w:spacing w:line="240" w:lineRule="auto"/>
        <w:jc w:val="both"/>
        <w:rPr>
          <w:rFonts w:ascii="Calibri Light" w:eastAsia="Times New Roman" w:hAnsi="Calibri Light" w:cs="Calibri Light"/>
          <w:lang w:eastAsia="fr-FR"/>
        </w:rPr>
      </w:pPr>
      <w:r w:rsidRPr="00ED192A">
        <w:rPr>
          <w:rFonts w:ascii="Calibri Light" w:eastAsia="Times New Roman" w:hAnsi="Calibri Light" w:cs="Calibri Light"/>
          <w:lang w:eastAsia="fr-FR"/>
        </w:rPr>
        <w:t>L’année 202</w:t>
      </w:r>
      <w:r>
        <w:rPr>
          <w:rFonts w:ascii="Calibri Light" w:eastAsia="Times New Roman" w:hAnsi="Calibri Light" w:cs="Calibri Light"/>
          <w:lang w:eastAsia="fr-FR"/>
        </w:rPr>
        <w:t>5</w:t>
      </w:r>
      <w:r w:rsidRPr="00ED192A">
        <w:rPr>
          <w:rFonts w:ascii="Calibri Light" w:eastAsia="Times New Roman" w:hAnsi="Calibri Light" w:cs="Calibri Light"/>
          <w:lang w:eastAsia="fr-FR"/>
        </w:rPr>
        <w:t xml:space="preserve"> a été marquée par</w:t>
      </w:r>
      <w:r>
        <w:rPr>
          <w:rFonts w:ascii="Calibri Light" w:eastAsia="Times New Roman" w:hAnsi="Calibri Light" w:cs="Calibri Light"/>
          <w:lang w:eastAsia="fr-FR"/>
        </w:rPr>
        <w:t xml:space="preserve"> la réhabilitation du jardin de la résidence ainsi que les travaux de l’accueil et le changement de mobilier. La mise en œuvre des outils de gestion et de suivi des résidents via </w:t>
      </w:r>
      <w:proofErr w:type="spellStart"/>
      <w:r>
        <w:rPr>
          <w:rFonts w:ascii="Calibri Light" w:eastAsia="Times New Roman" w:hAnsi="Calibri Light" w:cs="Calibri Light"/>
          <w:lang w:eastAsia="fr-FR"/>
        </w:rPr>
        <w:t>Netsoins</w:t>
      </w:r>
      <w:proofErr w:type="spellEnd"/>
      <w:r>
        <w:rPr>
          <w:rFonts w:ascii="Calibri Light" w:eastAsia="Times New Roman" w:hAnsi="Calibri Light" w:cs="Calibri Light"/>
          <w:lang w:eastAsia="fr-FR"/>
        </w:rPr>
        <w:t xml:space="preserve"> a permis de mettre en place le prélèvement automatique pour le paiement des loyers, repas et charges des résidents. L’année 2026 va permettre de finaliser les process attendus et la sensibilisation du personnel suite au contrôle de la Haute Autorité de Santé qui a eu lieu en décembre 2023. </w:t>
      </w:r>
    </w:p>
    <w:p w14:paraId="07FBFD1B" w14:textId="77777777" w:rsidR="00372E22" w:rsidRPr="00AA3969" w:rsidRDefault="00372E22" w:rsidP="00372E22">
      <w:pPr>
        <w:spacing w:line="240" w:lineRule="auto"/>
        <w:jc w:val="both"/>
        <w:rPr>
          <w:rFonts w:ascii="Calibri Light" w:eastAsia="Times New Roman" w:hAnsi="Calibri Light" w:cs="Calibri Light"/>
          <w:lang w:eastAsia="fr-FR"/>
        </w:rPr>
      </w:pPr>
    </w:p>
    <w:p w14:paraId="6929A9C8" w14:textId="77777777" w:rsidR="00372E22" w:rsidRPr="00ED192A" w:rsidRDefault="00372E22" w:rsidP="00372E22">
      <w:pPr>
        <w:pStyle w:val="Titre2"/>
        <w:numPr>
          <w:ilvl w:val="0"/>
          <w:numId w:val="9"/>
        </w:numPr>
      </w:pPr>
      <w:bookmarkStart w:id="18" w:name="_Toc190097425"/>
      <w:bookmarkStart w:id="19" w:name="_Toc213853361"/>
      <w:r w:rsidRPr="0095621C">
        <w:t>Recettes de fonctionnement</w:t>
      </w:r>
      <w:bookmarkEnd w:id="18"/>
      <w:bookmarkEnd w:id="19"/>
    </w:p>
    <w:p w14:paraId="7E63479A" w14:textId="77777777" w:rsidR="00372E22" w:rsidRPr="00AD5B45" w:rsidRDefault="00372E22" w:rsidP="00372E22">
      <w:pPr>
        <w:spacing w:line="240" w:lineRule="auto"/>
        <w:jc w:val="both"/>
        <w:rPr>
          <w:rFonts w:ascii="Calibri Light" w:eastAsia="Times New Roman" w:hAnsi="Calibri Light" w:cs="Calibri Light"/>
          <w:lang w:eastAsia="fr-FR"/>
        </w:rPr>
      </w:pPr>
      <w:r w:rsidRPr="00AD5B45">
        <w:rPr>
          <w:rFonts w:ascii="Calibri Light" w:eastAsia="Times New Roman" w:hAnsi="Calibri Light" w:cs="Calibri Light"/>
          <w:lang w:eastAsia="fr-FR"/>
        </w:rPr>
        <w:t xml:space="preserve">Conformément aux recommandations du Département, qui valide la préparation du budget de fonctionnement de la structure, le CCAS n’a pas versé de subvention d’équilibre à la résidence autonomie Dupuy depuis 2023. Dans le cas d’un besoin en financement, il est possible de le combler par des réserves financières disponibles et issues d’années antérieures.  </w:t>
      </w:r>
    </w:p>
    <w:p w14:paraId="41BED901" w14:textId="77777777" w:rsidR="00372E22" w:rsidRPr="00AD5B45" w:rsidRDefault="00372E22" w:rsidP="00372E22">
      <w:pPr>
        <w:spacing w:line="240" w:lineRule="auto"/>
        <w:jc w:val="both"/>
        <w:rPr>
          <w:rFonts w:ascii="Calibri Light" w:eastAsia="Times New Roman" w:hAnsi="Calibri Light" w:cs="Calibri Light"/>
          <w:lang w:eastAsia="fr-FR"/>
        </w:rPr>
      </w:pPr>
      <w:r w:rsidRPr="00AD5B45">
        <w:rPr>
          <w:rFonts w:ascii="Calibri Light" w:eastAsia="Times New Roman" w:hAnsi="Calibri Light" w:cs="Calibri Light"/>
          <w:lang w:eastAsia="fr-FR"/>
        </w:rPr>
        <w:t xml:space="preserve">Les recettes encaissées sont principalement liées aux loyers et repas facturés aux résidents, pour un montant </w:t>
      </w:r>
      <w:r>
        <w:rPr>
          <w:rFonts w:ascii="Calibri Light" w:eastAsia="Times New Roman" w:hAnsi="Calibri Light" w:cs="Calibri Light"/>
          <w:lang w:eastAsia="fr-FR"/>
        </w:rPr>
        <w:t xml:space="preserve">prévisionnel de </w:t>
      </w:r>
      <w:r w:rsidRPr="00AD5B45">
        <w:rPr>
          <w:rFonts w:ascii="Calibri Light" w:eastAsia="Times New Roman" w:hAnsi="Calibri Light" w:cs="Calibri Light"/>
          <w:lang w:eastAsia="fr-FR"/>
        </w:rPr>
        <w:t xml:space="preserve"> </w:t>
      </w:r>
      <w:r w:rsidRPr="00037780">
        <w:rPr>
          <w:rFonts w:ascii="Calibri Light" w:eastAsia="Times New Roman" w:hAnsi="Calibri Light" w:cs="Calibri Light"/>
          <w:lang w:eastAsia="fr-FR"/>
        </w:rPr>
        <w:t xml:space="preserve">1,35 millions d’euros soit une </w:t>
      </w:r>
      <w:r>
        <w:rPr>
          <w:rFonts w:ascii="Calibri Light" w:eastAsia="Times New Roman" w:hAnsi="Calibri Light" w:cs="Calibri Light"/>
          <w:lang w:eastAsia="fr-FR"/>
        </w:rPr>
        <w:t>baisse de 0.5%</w:t>
      </w:r>
      <w:r w:rsidRPr="00AD5B45">
        <w:rPr>
          <w:rFonts w:ascii="Calibri Light" w:eastAsia="Times New Roman" w:hAnsi="Calibri Light" w:cs="Calibri Light"/>
          <w:lang w:eastAsia="fr-FR"/>
        </w:rPr>
        <w:t xml:space="preserve">. </w:t>
      </w:r>
      <w:r>
        <w:rPr>
          <w:rFonts w:ascii="Calibri Light" w:eastAsia="Times New Roman" w:hAnsi="Calibri Light" w:cs="Calibri Light"/>
          <w:lang w:eastAsia="fr-FR"/>
        </w:rPr>
        <w:t>Cette baisse s’explique par un changement de date de paiement des loyers qui sont désormais réglés à terme échu, en mai 2025 seul les repas ont été encaissés.</w:t>
      </w:r>
    </w:p>
    <w:p w14:paraId="5197D128" w14:textId="77777777" w:rsidR="00372E22" w:rsidRDefault="00372E22" w:rsidP="00372E22">
      <w:pPr>
        <w:spacing w:line="240" w:lineRule="auto"/>
        <w:jc w:val="center"/>
        <w:rPr>
          <w:rFonts w:ascii="Calibri Light" w:eastAsia="Times New Roman" w:hAnsi="Calibri Light" w:cs="Calibri Light"/>
          <w:lang w:eastAsia="fr-FR"/>
        </w:rPr>
      </w:pPr>
      <w:r>
        <w:rPr>
          <w:noProof/>
        </w:rPr>
        <w:drawing>
          <wp:inline distT="0" distB="0" distL="0" distR="0" wp14:anchorId="61AC4889" wp14:editId="29678989">
            <wp:extent cx="6120130" cy="3326130"/>
            <wp:effectExtent l="0" t="0" r="13970" b="7620"/>
            <wp:docPr id="1029706838" name="Graphique 1">
              <a:extLst xmlns:a="http://schemas.openxmlformats.org/drawingml/2006/main">
                <a:ext uri="{FF2B5EF4-FFF2-40B4-BE49-F238E27FC236}">
                  <a16:creationId xmlns:a16="http://schemas.microsoft.com/office/drawing/2014/main" id="{D0C0D07E-1288-965D-0118-DB2C2FC452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3FC48C" w14:textId="77777777" w:rsidR="00372E22" w:rsidRPr="00AD5B45" w:rsidRDefault="00372E22" w:rsidP="00372E22">
      <w:pPr>
        <w:spacing w:line="240" w:lineRule="auto"/>
        <w:jc w:val="both"/>
        <w:rPr>
          <w:rFonts w:ascii="Calibri Light" w:eastAsia="Times New Roman" w:hAnsi="Calibri Light" w:cs="Calibri Light"/>
          <w:lang w:eastAsia="fr-FR"/>
        </w:rPr>
      </w:pPr>
      <w:r w:rsidRPr="00AD5B45">
        <w:rPr>
          <w:rFonts w:ascii="Calibri Light" w:eastAsia="Times New Roman" w:hAnsi="Calibri Light" w:cs="Calibri Light"/>
          <w:lang w:eastAsia="fr-FR"/>
        </w:rPr>
        <w:t xml:space="preserve">La résidence autonomie bénéficie aussi d’aides du Département au travers du forfait autonomie, cela représente </w:t>
      </w:r>
      <w:r w:rsidRPr="00037780">
        <w:rPr>
          <w:rFonts w:ascii="Calibri Light" w:eastAsia="Times New Roman" w:hAnsi="Calibri Light" w:cs="Calibri Light"/>
          <w:lang w:eastAsia="fr-FR"/>
        </w:rPr>
        <w:t>33 490€ en 2025</w:t>
      </w:r>
      <w:r w:rsidRPr="00AD5B45">
        <w:rPr>
          <w:rFonts w:ascii="Calibri Light" w:eastAsia="Times New Roman" w:hAnsi="Calibri Light" w:cs="Calibri Light"/>
          <w:lang w:eastAsia="fr-FR"/>
        </w:rPr>
        <w:t xml:space="preserve">. S’y ajoute une aide exceptionnelle de </w:t>
      </w:r>
      <w:r>
        <w:rPr>
          <w:rFonts w:ascii="Calibri Light" w:eastAsia="Times New Roman" w:hAnsi="Calibri Light" w:cs="Calibri Light"/>
          <w:lang w:eastAsia="fr-FR"/>
        </w:rPr>
        <w:t>17923€ au titre des revalorisations salariales</w:t>
      </w:r>
      <w:r w:rsidRPr="00AD5B45">
        <w:rPr>
          <w:rFonts w:ascii="Calibri Light" w:eastAsia="Times New Roman" w:hAnsi="Calibri Light" w:cs="Calibri Light"/>
          <w:lang w:eastAsia="fr-FR"/>
        </w:rPr>
        <w:t>.</w:t>
      </w:r>
    </w:p>
    <w:p w14:paraId="5164009B" w14:textId="77777777" w:rsidR="00372E22" w:rsidRDefault="00372E22" w:rsidP="00372E22">
      <w:pPr>
        <w:spacing w:line="240" w:lineRule="auto"/>
        <w:jc w:val="both"/>
        <w:rPr>
          <w:rFonts w:ascii="Calibri Light" w:eastAsia="Times New Roman" w:hAnsi="Calibri Light" w:cs="Calibri Light"/>
          <w:color w:val="C0504D" w:themeColor="accent2"/>
          <w:lang w:eastAsia="fr-FR"/>
        </w:rPr>
      </w:pPr>
    </w:p>
    <w:p w14:paraId="04781AAC" w14:textId="77777777" w:rsidR="00372E22" w:rsidRDefault="00372E22" w:rsidP="00372E22">
      <w:pPr>
        <w:spacing w:line="240" w:lineRule="auto"/>
        <w:jc w:val="both"/>
        <w:rPr>
          <w:rFonts w:ascii="Calibri Light" w:eastAsia="Times New Roman" w:hAnsi="Calibri Light" w:cs="Calibri Light"/>
          <w:lang w:eastAsia="fr-FR"/>
        </w:rPr>
      </w:pPr>
    </w:p>
    <w:p w14:paraId="0EA3DC3A" w14:textId="77777777" w:rsidR="00372E22" w:rsidRDefault="00372E22" w:rsidP="00372E22">
      <w:pPr>
        <w:spacing w:line="240" w:lineRule="auto"/>
        <w:jc w:val="both"/>
        <w:rPr>
          <w:rFonts w:ascii="Calibri Light" w:eastAsia="Times New Roman" w:hAnsi="Calibri Light" w:cs="Calibri Light"/>
          <w:lang w:eastAsia="fr-FR"/>
        </w:rPr>
      </w:pPr>
    </w:p>
    <w:p w14:paraId="3F446933" w14:textId="77777777" w:rsidR="00372E22" w:rsidRPr="004F6CC0" w:rsidRDefault="00372E22" w:rsidP="00372E22">
      <w:pPr>
        <w:spacing w:line="240" w:lineRule="auto"/>
        <w:jc w:val="both"/>
        <w:rPr>
          <w:rFonts w:ascii="Calibri Light" w:eastAsia="Times New Roman" w:hAnsi="Calibri Light" w:cs="Calibri Light"/>
          <w:lang w:eastAsia="fr-FR"/>
        </w:rPr>
      </w:pPr>
    </w:p>
    <w:p w14:paraId="3E8491FC" w14:textId="77777777" w:rsidR="00372E22" w:rsidRDefault="00372E22" w:rsidP="00372E22">
      <w:pPr>
        <w:pStyle w:val="Titre2"/>
      </w:pPr>
      <w:bookmarkStart w:id="20" w:name="_Toc190097426"/>
      <w:bookmarkStart w:id="21" w:name="_Toc213853362"/>
      <w:r w:rsidRPr="00372E22">
        <w:t>Dépenses de fonctionnement</w:t>
      </w:r>
      <w:bookmarkEnd w:id="20"/>
      <w:bookmarkEnd w:id="21"/>
      <w:r w:rsidRPr="00372E22">
        <w:t xml:space="preserve"> </w:t>
      </w:r>
    </w:p>
    <w:p w14:paraId="7BF3BA23" w14:textId="77777777" w:rsidR="00F03756" w:rsidRPr="00F03756" w:rsidRDefault="00F03756" w:rsidP="00F03756"/>
    <w:p w14:paraId="7EE13CD2" w14:textId="77777777" w:rsidR="00372E22" w:rsidRPr="00372E22" w:rsidRDefault="00372E22" w:rsidP="00372E22">
      <w:pPr>
        <w:pStyle w:val="Titre3"/>
        <w:rPr>
          <w:lang w:eastAsia="fr-FR"/>
        </w:rPr>
      </w:pPr>
      <w:bookmarkStart w:id="22" w:name="_Toc190097427"/>
      <w:bookmarkStart w:id="23" w:name="_Toc213853363"/>
      <w:r w:rsidRPr="00372E22">
        <w:rPr>
          <w:lang w:eastAsia="fr-FR"/>
        </w:rPr>
        <w:t>Dépenses de fonctionnement (hors masse salariale)</w:t>
      </w:r>
      <w:bookmarkEnd w:id="22"/>
      <w:bookmarkEnd w:id="23"/>
    </w:p>
    <w:p w14:paraId="21E7410C" w14:textId="7F5A222F" w:rsidR="00372E22" w:rsidRPr="00372E22" w:rsidRDefault="00372E22" w:rsidP="00372E22">
      <w:pPr>
        <w:spacing w:line="240" w:lineRule="auto"/>
        <w:jc w:val="both"/>
        <w:rPr>
          <w:rFonts w:ascii="Calibri Light" w:eastAsia="Times New Roman" w:hAnsi="Calibri Light" w:cs="Calibri Light"/>
          <w:lang w:eastAsia="fr-FR"/>
        </w:rPr>
      </w:pPr>
      <w:r w:rsidRPr="00372E22">
        <w:rPr>
          <w:rFonts w:ascii="Calibri Light" w:eastAsia="Times New Roman" w:hAnsi="Calibri Light" w:cs="Calibri Light"/>
          <w:lang w:eastAsia="fr-FR"/>
        </w:rPr>
        <w:t xml:space="preserve">Les dépenses courantes d’exploitation devraient être équivalentes à l’année 2024. Cependant Emeraude Habitation n’a pas communiqué à ce jour la réévaluation des loyers et charges, </w:t>
      </w:r>
      <w:r w:rsidR="00F03756">
        <w:rPr>
          <w:rFonts w:ascii="Calibri Light" w:eastAsia="Times New Roman" w:hAnsi="Calibri Light" w:cs="Calibri Light"/>
          <w:lang w:eastAsia="fr-FR"/>
        </w:rPr>
        <w:t>qui</w:t>
      </w:r>
      <w:r w:rsidRPr="00372E22">
        <w:rPr>
          <w:rFonts w:ascii="Calibri Light" w:eastAsia="Times New Roman" w:hAnsi="Calibri Light" w:cs="Calibri Light"/>
          <w:lang w:eastAsia="fr-FR"/>
        </w:rPr>
        <w:t xml:space="preserve"> concerne les années 2023,</w:t>
      </w:r>
      <w:r w:rsidR="00F03756">
        <w:rPr>
          <w:rFonts w:ascii="Calibri Light" w:eastAsia="Times New Roman" w:hAnsi="Calibri Light" w:cs="Calibri Light"/>
          <w:lang w:eastAsia="fr-FR"/>
        </w:rPr>
        <w:t xml:space="preserve"> </w:t>
      </w:r>
      <w:r w:rsidRPr="00372E22">
        <w:rPr>
          <w:rFonts w:ascii="Calibri Light" w:eastAsia="Times New Roman" w:hAnsi="Calibri Light" w:cs="Calibri Light"/>
          <w:lang w:eastAsia="fr-FR"/>
        </w:rPr>
        <w:t>2024</w:t>
      </w:r>
      <w:r w:rsidR="00F03756">
        <w:rPr>
          <w:rFonts w:ascii="Calibri Light" w:eastAsia="Times New Roman" w:hAnsi="Calibri Light" w:cs="Calibri Light"/>
          <w:lang w:eastAsia="fr-FR"/>
        </w:rPr>
        <w:t xml:space="preserve"> et </w:t>
      </w:r>
      <w:r w:rsidRPr="00372E22">
        <w:rPr>
          <w:rFonts w:ascii="Calibri Light" w:eastAsia="Times New Roman" w:hAnsi="Calibri Light" w:cs="Calibri Light"/>
          <w:lang w:eastAsia="fr-FR"/>
        </w:rPr>
        <w:t>2025.</w:t>
      </w:r>
    </w:p>
    <w:p w14:paraId="3FB72D78" w14:textId="77777777" w:rsidR="00372E22" w:rsidRPr="00372E22" w:rsidRDefault="00372E22" w:rsidP="00372E22">
      <w:pPr>
        <w:spacing w:line="240" w:lineRule="auto"/>
        <w:jc w:val="both"/>
        <w:rPr>
          <w:rFonts w:ascii="Calibri Light" w:eastAsia="Times New Roman" w:hAnsi="Calibri Light" w:cs="Calibri Light"/>
          <w:lang w:eastAsia="fr-FR"/>
        </w:rPr>
      </w:pPr>
      <w:r w:rsidRPr="00372E22">
        <w:rPr>
          <w:rFonts w:ascii="Calibri Light" w:eastAsia="Times New Roman" w:hAnsi="Calibri Light" w:cs="Calibri Light"/>
          <w:lang w:eastAsia="fr-FR"/>
        </w:rPr>
        <w:t xml:space="preserve">La résidence autonomie Dupuy reverse également une participation à la Ville, au même titre que le CCAS, pour les fonctions supports (finances, ressources humaines, informatique). Cette participation est calculée selon des critères votés par les assemblées délibérantes (montants financiers, nombre de fiches de paye éditées). </w:t>
      </w:r>
    </w:p>
    <w:p w14:paraId="715832B3" w14:textId="77777777" w:rsidR="00372E22" w:rsidRPr="00372E22" w:rsidRDefault="00372E22" w:rsidP="00372E22">
      <w:pPr>
        <w:pStyle w:val="Titre3"/>
        <w:rPr>
          <w:lang w:eastAsia="fr-FR"/>
        </w:rPr>
      </w:pPr>
      <w:bookmarkStart w:id="24" w:name="_Toc190097428"/>
      <w:bookmarkStart w:id="25" w:name="_Toc213853364"/>
      <w:r w:rsidRPr="00372E22">
        <w:rPr>
          <w:lang w:eastAsia="fr-FR"/>
        </w:rPr>
        <w:t>Dépenses de personnel</w:t>
      </w:r>
      <w:bookmarkEnd w:id="24"/>
      <w:bookmarkEnd w:id="25"/>
    </w:p>
    <w:p w14:paraId="5F9E029F" w14:textId="77777777" w:rsidR="00372E22" w:rsidRPr="00372E22" w:rsidRDefault="00372E22" w:rsidP="00372E22">
      <w:pPr>
        <w:spacing w:line="240" w:lineRule="auto"/>
        <w:jc w:val="both"/>
        <w:rPr>
          <w:rFonts w:ascii="Calibri Light" w:eastAsia="Times New Roman" w:hAnsi="Calibri Light" w:cs="Calibri Light"/>
          <w:lang w:eastAsia="fr-FR"/>
        </w:rPr>
      </w:pPr>
      <w:r w:rsidRPr="00372E22">
        <w:rPr>
          <w:rFonts w:ascii="Calibri Light" w:eastAsia="Times New Roman" w:hAnsi="Calibri Light" w:cs="Calibri Light"/>
          <w:lang w:eastAsia="fr-FR"/>
        </w:rPr>
        <w:t xml:space="preserve">La clôture de l’exercice 2025 prévoit les charges de personnel à hauteur 626 315€ euros, en dessous du prévisionnel, cela s’explique par l’absence pour cause de maladie de plusieurs agents et le recours à de l’intérim et de la prestation qui ne sont pas qualifiés de dépenses de personnel en terme comptable. </w:t>
      </w:r>
    </w:p>
    <w:p w14:paraId="4BD788DE" w14:textId="77777777" w:rsidR="00372E22" w:rsidRPr="00372E22" w:rsidRDefault="00372E22" w:rsidP="00372E22">
      <w:pPr>
        <w:spacing w:line="240" w:lineRule="auto"/>
        <w:jc w:val="both"/>
        <w:rPr>
          <w:rFonts w:ascii="Calibri Light" w:eastAsia="Times New Roman" w:hAnsi="Calibri Light" w:cs="Calibri Light"/>
          <w:lang w:eastAsia="fr-FR"/>
        </w:rPr>
      </w:pPr>
      <w:r w:rsidRPr="00372E22">
        <w:rPr>
          <w:rFonts w:ascii="Calibri Light" w:eastAsia="Times New Roman" w:hAnsi="Calibri Light" w:cs="Calibri Light"/>
          <w:lang w:eastAsia="fr-FR"/>
        </w:rPr>
        <w:t>L’organigramme de la résidence autonomie a évolué en 2025 afin de répondre au fonctionnement de la résidence et de pérenniser plusieurs postes.</w:t>
      </w:r>
    </w:p>
    <w:p w14:paraId="26AA9733" w14:textId="77777777" w:rsidR="00372E22" w:rsidRDefault="00372E22" w:rsidP="00372E22">
      <w:pPr>
        <w:spacing w:line="240" w:lineRule="auto"/>
        <w:jc w:val="both"/>
        <w:rPr>
          <w:rFonts w:ascii="Calibri Light" w:eastAsia="Times New Roman" w:hAnsi="Calibri Light" w:cs="Calibri Light"/>
          <w:lang w:eastAsia="fr-FR"/>
        </w:rPr>
      </w:pPr>
    </w:p>
    <w:p w14:paraId="30A7C29E" w14:textId="77777777" w:rsidR="00F03756" w:rsidRPr="00372E22" w:rsidRDefault="00F03756" w:rsidP="00372E22">
      <w:pPr>
        <w:spacing w:line="240" w:lineRule="auto"/>
        <w:jc w:val="both"/>
        <w:rPr>
          <w:rFonts w:ascii="Calibri Light" w:eastAsia="Times New Roman" w:hAnsi="Calibri Light" w:cs="Calibri Light"/>
          <w:lang w:eastAsia="fr-FR"/>
        </w:rPr>
      </w:pPr>
    </w:p>
    <w:p w14:paraId="79773E3D" w14:textId="77777777" w:rsidR="00372E22" w:rsidRPr="00372E22" w:rsidRDefault="00372E22" w:rsidP="00372E22">
      <w:pPr>
        <w:pStyle w:val="Titre1"/>
      </w:pPr>
      <w:bookmarkStart w:id="26" w:name="_Toc190097429"/>
      <w:bookmarkStart w:id="27" w:name="_Toc213853365"/>
      <w:r w:rsidRPr="00372E22">
        <w:t>CONSTRUCTION DU BUDGET PRIMITIF 2026 DE LA RESIDENCE AUTONOMIE DUPUY</w:t>
      </w:r>
      <w:bookmarkEnd w:id="26"/>
      <w:bookmarkEnd w:id="27"/>
    </w:p>
    <w:p w14:paraId="6E9BABA2" w14:textId="77777777" w:rsidR="00372E22" w:rsidRPr="00372E22" w:rsidRDefault="00372E22" w:rsidP="00372E22">
      <w:pPr>
        <w:spacing w:after="120" w:line="240" w:lineRule="auto"/>
        <w:rPr>
          <w:rFonts w:ascii="Calibri Light" w:hAnsi="Calibri Light" w:cs="Calibri Light"/>
        </w:rPr>
      </w:pPr>
    </w:p>
    <w:p w14:paraId="65146142" w14:textId="77777777" w:rsidR="00372E22" w:rsidRPr="00372E22" w:rsidRDefault="00372E22" w:rsidP="00372E22">
      <w:pPr>
        <w:spacing w:line="240" w:lineRule="auto"/>
        <w:jc w:val="both"/>
        <w:rPr>
          <w:rFonts w:ascii="Calibri Light" w:eastAsia="Times New Roman" w:hAnsi="Calibri Light" w:cs="Calibri Light"/>
          <w:lang w:eastAsia="fr-FR"/>
        </w:rPr>
      </w:pPr>
      <w:r w:rsidRPr="00372E22">
        <w:rPr>
          <w:rFonts w:ascii="Calibri Light" w:eastAsia="Times New Roman" w:hAnsi="Calibri Light" w:cs="Calibri Light"/>
          <w:lang w:eastAsia="fr-FR"/>
        </w:rPr>
        <w:t xml:space="preserve">Le budget-annexe de la résidence autonomie Dupuy est établi sous le contrôle des services du Département, à qui une maquette budgétaire est soumise dès octobre de l’année N-1. </w:t>
      </w:r>
      <w:bookmarkStart w:id="28" w:name="_Toc190097430"/>
    </w:p>
    <w:p w14:paraId="59E4011C" w14:textId="77777777" w:rsidR="00372E22" w:rsidRPr="00372E22" w:rsidRDefault="00372E22" w:rsidP="00372E22">
      <w:pPr>
        <w:spacing w:line="240" w:lineRule="auto"/>
        <w:jc w:val="both"/>
      </w:pPr>
      <w:r w:rsidRPr="00372E22">
        <w:t>Projection de la section de fonctionnement</w:t>
      </w:r>
      <w:bookmarkEnd w:id="28"/>
      <w:r w:rsidRPr="00372E22">
        <w:t xml:space="preserve"> </w:t>
      </w:r>
    </w:p>
    <w:p w14:paraId="1B0B6ABD" w14:textId="77777777" w:rsidR="00372E22" w:rsidRPr="00372E22" w:rsidRDefault="00372E22" w:rsidP="00372E22">
      <w:pPr>
        <w:pStyle w:val="Titre3"/>
      </w:pPr>
      <w:bookmarkStart w:id="29" w:name="_Toc190097431"/>
      <w:bookmarkStart w:id="30" w:name="_Toc213853366"/>
      <w:r w:rsidRPr="00372E22">
        <w:t>Recettes de fonctionnement</w:t>
      </w:r>
      <w:bookmarkEnd w:id="29"/>
      <w:bookmarkEnd w:id="30"/>
    </w:p>
    <w:p w14:paraId="200A86CA" w14:textId="0B32535C" w:rsidR="00372E22" w:rsidRPr="00372E22" w:rsidRDefault="00372E22" w:rsidP="00372E22">
      <w:pPr>
        <w:spacing w:line="240" w:lineRule="auto"/>
        <w:jc w:val="both"/>
        <w:rPr>
          <w:rFonts w:ascii="Calibri Light" w:eastAsia="Times New Roman" w:hAnsi="Calibri Light" w:cs="Calibri Light"/>
          <w:lang w:eastAsia="fr-FR"/>
        </w:rPr>
      </w:pPr>
      <w:r w:rsidRPr="00372E22">
        <w:rPr>
          <w:rFonts w:ascii="Calibri Light" w:eastAsia="Times New Roman" w:hAnsi="Calibri Light" w:cs="Calibri Light"/>
          <w:lang w:eastAsia="fr-FR"/>
        </w:rPr>
        <w:t>Le budget 2026 pourra prendre en compte un taux d’occupation de 98.</w:t>
      </w:r>
      <w:r w:rsidR="005B7638">
        <w:rPr>
          <w:rFonts w:ascii="Calibri Light" w:eastAsia="Times New Roman" w:hAnsi="Calibri Light" w:cs="Calibri Light"/>
          <w:lang w:eastAsia="fr-FR"/>
        </w:rPr>
        <w:t>4</w:t>
      </w:r>
      <w:r w:rsidRPr="00372E22">
        <w:rPr>
          <w:rFonts w:ascii="Calibri Light" w:eastAsia="Times New Roman" w:hAnsi="Calibri Light" w:cs="Calibri Light"/>
          <w:lang w:eastAsia="fr-FR"/>
        </w:rPr>
        <w:t>% pour les T1 et de 100% pour les T2.  La proposition de recettes de fonctionnement pourra ainsi s’élever à 1,4</w:t>
      </w:r>
      <w:r w:rsidR="005B7638">
        <w:rPr>
          <w:rFonts w:ascii="Calibri Light" w:eastAsia="Times New Roman" w:hAnsi="Calibri Light" w:cs="Calibri Light"/>
          <w:lang w:eastAsia="fr-FR"/>
        </w:rPr>
        <w:t>6</w:t>
      </w:r>
      <w:r w:rsidRPr="00372E22">
        <w:rPr>
          <w:rFonts w:ascii="Calibri Light" w:eastAsia="Times New Roman" w:hAnsi="Calibri Light" w:cs="Calibri Light"/>
          <w:lang w:eastAsia="fr-FR"/>
        </w:rPr>
        <w:t xml:space="preserve"> millions. Cette projection se base sur des tarifs modifiés. </w:t>
      </w:r>
    </w:p>
    <w:p w14:paraId="4EE1BAB7" w14:textId="77777777" w:rsidR="00372E22" w:rsidRPr="00372E22" w:rsidRDefault="00372E22" w:rsidP="00372E22">
      <w:pPr>
        <w:spacing w:line="240" w:lineRule="auto"/>
        <w:jc w:val="both"/>
        <w:rPr>
          <w:rFonts w:ascii="Calibri Light" w:eastAsia="Times New Roman" w:hAnsi="Calibri Light" w:cs="Calibri Light"/>
          <w:lang w:eastAsia="fr-FR"/>
        </w:rPr>
      </w:pPr>
      <w:r w:rsidRPr="00372E22">
        <w:rPr>
          <w:rFonts w:ascii="Calibri Light" w:eastAsia="Times New Roman" w:hAnsi="Calibri Light" w:cs="Calibri Light"/>
          <w:lang w:eastAsia="fr-FR"/>
        </w:rPr>
        <w:t xml:space="preserve">La résidence autonomie percevra le forfait autonomie comme chaque année, pour environ 30 000€. Une aide pour les mesures salariales est prévue environ 28 000€. </w:t>
      </w:r>
    </w:p>
    <w:p w14:paraId="44C4D553" w14:textId="77777777" w:rsidR="00372E22" w:rsidRPr="00372E22" w:rsidRDefault="00372E22" w:rsidP="00372E22">
      <w:pPr>
        <w:spacing w:line="240" w:lineRule="auto"/>
        <w:jc w:val="both"/>
        <w:rPr>
          <w:rFonts w:ascii="Calibri Light" w:eastAsia="Times New Roman" w:hAnsi="Calibri Light" w:cs="Calibri Light"/>
          <w:lang w:eastAsia="fr-FR"/>
        </w:rPr>
      </w:pPr>
      <w:r w:rsidRPr="00372E22">
        <w:rPr>
          <w:rFonts w:ascii="Calibri Light" w:eastAsia="Times New Roman" w:hAnsi="Calibri Light" w:cs="Calibri Light"/>
          <w:lang w:eastAsia="fr-FR"/>
        </w:rPr>
        <w:t xml:space="preserve">Le projet de budget ne prévoit pas de subvention de la Ville, l’option ayant été choisie de faire appel aux réserves financières de la résidence en cas de déficit. </w:t>
      </w:r>
      <w:bookmarkStart w:id="31" w:name="_Toc190097432"/>
    </w:p>
    <w:p w14:paraId="4E3898A2" w14:textId="77777777" w:rsidR="00372E22" w:rsidRPr="00372E22" w:rsidRDefault="00372E22" w:rsidP="00372E22">
      <w:pPr>
        <w:spacing w:line="240" w:lineRule="auto"/>
        <w:jc w:val="both"/>
      </w:pPr>
      <w:r w:rsidRPr="00372E22">
        <w:t>Dépenses de fonctionnement (hors masse salariale)</w:t>
      </w:r>
      <w:bookmarkEnd w:id="31"/>
      <w:r w:rsidRPr="00372E22">
        <w:t xml:space="preserve"> </w:t>
      </w:r>
    </w:p>
    <w:p w14:paraId="6C4463A1" w14:textId="3FAA6F9E" w:rsidR="00372E22" w:rsidRPr="00372E22" w:rsidRDefault="00372E22" w:rsidP="00372E22">
      <w:pPr>
        <w:spacing w:after="120" w:line="240" w:lineRule="auto"/>
        <w:rPr>
          <w:rFonts w:ascii="Calibri Light" w:hAnsi="Calibri Light" w:cs="Calibri Light"/>
        </w:rPr>
      </w:pPr>
      <w:r w:rsidRPr="00372E22">
        <w:rPr>
          <w:rFonts w:ascii="Calibri Light" w:hAnsi="Calibri Light" w:cs="Calibri Light"/>
        </w:rPr>
        <w:t>Le budget de fonctionnement 2026 sera établi en prenant en compte un taux directeur de +0,</w:t>
      </w:r>
      <w:r w:rsidR="005B7638">
        <w:rPr>
          <w:rFonts w:ascii="Calibri Light" w:hAnsi="Calibri Light" w:cs="Calibri Light"/>
        </w:rPr>
        <w:t>2</w:t>
      </w:r>
      <w:r w:rsidRPr="00372E22">
        <w:rPr>
          <w:rFonts w:ascii="Calibri Light" w:hAnsi="Calibri Light" w:cs="Calibri Light"/>
        </w:rPr>
        <w:t xml:space="preserve">%. </w:t>
      </w:r>
    </w:p>
    <w:p w14:paraId="16AEFD18" w14:textId="77777777" w:rsidR="00372E22" w:rsidRPr="00372E22" w:rsidRDefault="00372E22" w:rsidP="00372E22">
      <w:pPr>
        <w:spacing w:after="120" w:line="240" w:lineRule="auto"/>
        <w:rPr>
          <w:rFonts w:ascii="Calibri Light" w:hAnsi="Calibri Light" w:cs="Calibri Light"/>
        </w:rPr>
      </w:pPr>
      <w:r w:rsidRPr="00372E22">
        <w:rPr>
          <w:rFonts w:ascii="Calibri Light" w:hAnsi="Calibri Light" w:cs="Calibri Light"/>
        </w:rPr>
        <w:t xml:space="preserve">La refacturation des fonctions supports par la Ville devrait être équivalente à 2025 pour environ 31 000€. </w:t>
      </w:r>
    </w:p>
    <w:p w14:paraId="523040E2" w14:textId="77777777" w:rsidR="00372E22" w:rsidRPr="00372E22" w:rsidRDefault="00372E22" w:rsidP="00372E22">
      <w:pPr>
        <w:spacing w:after="120" w:line="240" w:lineRule="auto"/>
        <w:rPr>
          <w:rFonts w:ascii="Calibri Light" w:hAnsi="Calibri Light" w:cs="Calibri Light"/>
        </w:rPr>
      </w:pPr>
      <w:r w:rsidRPr="00372E22">
        <w:rPr>
          <w:rFonts w:ascii="Calibri Light" w:hAnsi="Calibri Light" w:cs="Calibri Light"/>
        </w:rPr>
        <w:t>Les redevances à verser à Emeraude Habitation sont prévues pour 173 000€ environ, au vu de l’échéancier du bailleur.</w:t>
      </w:r>
    </w:p>
    <w:p w14:paraId="2035FCAA" w14:textId="77777777" w:rsidR="00372E22" w:rsidRPr="00372E22" w:rsidRDefault="00372E22" w:rsidP="00372E22">
      <w:pPr>
        <w:spacing w:after="120" w:line="240" w:lineRule="auto"/>
        <w:rPr>
          <w:rFonts w:ascii="Calibri Light" w:hAnsi="Calibri Light" w:cs="Calibri Light"/>
        </w:rPr>
      </w:pPr>
    </w:p>
    <w:p w14:paraId="522AC213" w14:textId="77777777" w:rsidR="00372E22" w:rsidRPr="00372E22" w:rsidRDefault="00372E22" w:rsidP="00372E22">
      <w:pPr>
        <w:pStyle w:val="Titre3"/>
        <w:rPr>
          <w:lang w:eastAsia="fr-FR"/>
        </w:rPr>
      </w:pPr>
      <w:bookmarkStart w:id="32" w:name="_Toc190097433"/>
      <w:bookmarkStart w:id="33" w:name="_Toc213853367"/>
      <w:bookmarkStart w:id="34" w:name="_Hlk157698610"/>
      <w:r w:rsidRPr="00372E22">
        <w:rPr>
          <w:lang w:eastAsia="fr-FR"/>
        </w:rPr>
        <w:lastRenderedPageBreak/>
        <w:t>Focus sur les dépenses de personnel</w:t>
      </w:r>
      <w:bookmarkEnd w:id="32"/>
      <w:bookmarkEnd w:id="33"/>
    </w:p>
    <w:p w14:paraId="185A1816" w14:textId="42F34DF6" w:rsidR="00372E22" w:rsidRDefault="00372E22" w:rsidP="00372E22">
      <w:pPr>
        <w:spacing w:line="240" w:lineRule="auto"/>
        <w:jc w:val="both"/>
        <w:rPr>
          <w:rFonts w:ascii="Calibri Light" w:eastAsia="Times New Roman" w:hAnsi="Calibri Light" w:cs="Calibri Light"/>
          <w:lang w:eastAsia="fr-FR"/>
        </w:rPr>
      </w:pPr>
      <w:r w:rsidRPr="00372E22">
        <w:rPr>
          <w:rFonts w:ascii="Calibri Light" w:eastAsia="Times New Roman" w:hAnsi="Calibri Light" w:cs="Calibri Light"/>
          <w:lang w:eastAsia="fr-FR"/>
        </w:rPr>
        <w:t>Les dépenses du personnel seront prévues en 2026 au regard du réalisé 2025 et en prenant en compte une marge suffisante comme les années antérieures afin d’anticiper les absences et départ en retraite.</w:t>
      </w:r>
    </w:p>
    <w:p w14:paraId="038A57C5" w14:textId="77777777" w:rsidR="00F03756" w:rsidRPr="00372E22" w:rsidRDefault="00F03756" w:rsidP="00372E22">
      <w:pPr>
        <w:spacing w:line="240" w:lineRule="auto"/>
        <w:jc w:val="both"/>
        <w:rPr>
          <w:rFonts w:ascii="Calibri Light" w:eastAsia="Times New Roman" w:hAnsi="Calibri Light" w:cs="Calibri Light"/>
          <w:lang w:eastAsia="fr-FR"/>
        </w:rPr>
      </w:pPr>
    </w:p>
    <w:p w14:paraId="595FF239" w14:textId="74199521" w:rsidR="00372E22" w:rsidRPr="00372E22" w:rsidRDefault="00372E22" w:rsidP="00372E22">
      <w:pPr>
        <w:pStyle w:val="Titre3"/>
      </w:pPr>
      <w:bookmarkStart w:id="35" w:name="_Toc190097434"/>
      <w:bookmarkStart w:id="36" w:name="_Toc213853368"/>
      <w:bookmarkEnd w:id="34"/>
      <w:r w:rsidRPr="00372E22">
        <w:t>Projets d’investissements 202</w:t>
      </w:r>
      <w:bookmarkEnd w:id="35"/>
      <w:r w:rsidRPr="00372E22">
        <w:t>6</w:t>
      </w:r>
      <w:bookmarkEnd w:id="36"/>
    </w:p>
    <w:p w14:paraId="50DC5883" w14:textId="77777777" w:rsidR="00372E22" w:rsidRPr="00372E22" w:rsidRDefault="00372E22" w:rsidP="00372E22">
      <w:pPr>
        <w:spacing w:line="240" w:lineRule="auto"/>
        <w:jc w:val="both"/>
        <w:rPr>
          <w:rFonts w:ascii="Calibri Light" w:eastAsia="Times New Roman" w:hAnsi="Calibri Light" w:cs="Calibri Light"/>
          <w:lang w:eastAsia="fr-FR"/>
        </w:rPr>
      </w:pPr>
      <w:r w:rsidRPr="00372E22">
        <w:rPr>
          <w:rFonts w:ascii="Calibri Light" w:eastAsia="Times New Roman" w:hAnsi="Calibri Light" w:cs="Calibri Light"/>
          <w:lang w:eastAsia="fr-FR"/>
        </w:rPr>
        <w:t>En 2026, la résidence-autonomie Dupuy poursuivra la rénovation de certains mobiliers ainsi que le renouvellement de certains équipements nécessaires à son fonctionnement. Un projet d’amélioration de la signalétique et de l’agencement des couloirs est à l’étude, ainsi que l’installation d’un coin cuisine en salle d’animation.</w:t>
      </w:r>
    </w:p>
    <w:p w14:paraId="303C7155" w14:textId="77777777" w:rsidR="00372E22" w:rsidRPr="00372E22" w:rsidRDefault="00372E22" w:rsidP="00372E22">
      <w:pPr>
        <w:spacing w:line="240" w:lineRule="auto"/>
        <w:jc w:val="both"/>
        <w:rPr>
          <w:rFonts w:ascii="Calibri Light" w:eastAsia="Times New Roman" w:hAnsi="Calibri Light" w:cs="Calibri Light"/>
          <w:lang w:eastAsia="fr-FR"/>
        </w:rPr>
      </w:pPr>
      <w:r w:rsidRPr="00372E22">
        <w:rPr>
          <w:rFonts w:ascii="Calibri Light" w:eastAsia="Times New Roman" w:hAnsi="Calibri Light" w:cs="Calibri Light"/>
          <w:lang w:eastAsia="fr-FR"/>
        </w:rPr>
        <w:t xml:space="preserve">Pour la cuisine et la salle, 17 000€ sont provisionnés pour le changement de matériels et de mobiliers </w:t>
      </w:r>
    </w:p>
    <w:p w14:paraId="19D49842" w14:textId="77777777" w:rsidR="00372E22" w:rsidRPr="00372E22" w:rsidRDefault="00372E22" w:rsidP="00372E22">
      <w:pPr>
        <w:spacing w:line="240" w:lineRule="auto"/>
        <w:jc w:val="both"/>
        <w:rPr>
          <w:rFonts w:ascii="Calibri Light" w:eastAsia="Times New Roman" w:hAnsi="Calibri Light" w:cs="Calibri Light"/>
          <w:lang w:eastAsia="fr-FR"/>
        </w:rPr>
      </w:pPr>
      <w:r w:rsidRPr="00372E22">
        <w:rPr>
          <w:rFonts w:ascii="Calibri Light" w:eastAsia="Times New Roman" w:hAnsi="Calibri Light" w:cs="Calibri Light"/>
          <w:lang w:eastAsia="fr-FR"/>
        </w:rPr>
        <w:t>Un budget pourra être inscrit de manière à disposer de provisions pour du petit mobilier (environ 1 000€) et du matériel informatique (environ 1 000€).</w:t>
      </w:r>
    </w:p>
    <w:p w14:paraId="0BE1CF4E" w14:textId="77777777" w:rsidR="00372E22" w:rsidRPr="00372E22" w:rsidRDefault="00372E22" w:rsidP="00372E22">
      <w:pPr>
        <w:spacing w:line="240" w:lineRule="auto"/>
        <w:jc w:val="both"/>
        <w:rPr>
          <w:rFonts w:ascii="Calibri Light" w:eastAsia="Times New Roman" w:hAnsi="Calibri Light" w:cs="Calibri Light"/>
          <w:lang w:eastAsia="fr-FR"/>
        </w:rPr>
      </w:pPr>
      <w:r w:rsidRPr="00372E22">
        <w:rPr>
          <w:rFonts w:ascii="Calibri Light" w:eastAsia="Times New Roman" w:hAnsi="Calibri Light" w:cs="Calibri Light"/>
          <w:lang w:eastAsia="fr-FR"/>
        </w:rPr>
        <w:t xml:space="preserve">Ces montants seront amenés à être réajustés en fonction de la finalisation du projet de budget. En tout l’enveloppe disponible pour l’investissement 2026 est d’environ 80 000€. </w:t>
      </w:r>
    </w:p>
    <w:p w14:paraId="70DAA712" w14:textId="36051B3C" w:rsidR="00372E22" w:rsidRPr="00372E22" w:rsidRDefault="00372E22" w:rsidP="00372E22">
      <w:pPr>
        <w:spacing w:line="240" w:lineRule="auto"/>
        <w:jc w:val="both"/>
        <w:rPr>
          <w:rFonts w:ascii="Calibri Light" w:eastAsia="Times New Roman" w:hAnsi="Calibri Light" w:cs="Calibri Light"/>
          <w:lang w:eastAsia="fr-FR"/>
        </w:rPr>
      </w:pPr>
      <w:r w:rsidRPr="00372E22">
        <w:rPr>
          <w:rFonts w:ascii="Calibri Light" w:eastAsia="Times New Roman" w:hAnsi="Calibri Light" w:cs="Calibri Light"/>
          <w:lang w:eastAsia="fr-FR"/>
        </w:rPr>
        <w:t>Le budget pourra prendre en compte les recettes d’investissement suivantes : Fonds de Compensation de la TVA pour 3900€, le report de la section d’investissement 2024</w:t>
      </w:r>
      <w:r w:rsidR="000C7334">
        <w:rPr>
          <w:rFonts w:ascii="Calibri Light" w:eastAsia="Times New Roman" w:hAnsi="Calibri Light" w:cs="Calibri Light"/>
          <w:lang w:eastAsia="fr-FR"/>
        </w:rPr>
        <w:t xml:space="preserve"> pour 45901€</w:t>
      </w:r>
      <w:r w:rsidRPr="00372E22">
        <w:rPr>
          <w:rFonts w:ascii="Calibri Light" w:eastAsia="Times New Roman" w:hAnsi="Calibri Light" w:cs="Calibri Light"/>
          <w:lang w:eastAsia="fr-FR"/>
        </w:rPr>
        <w:t>.</w:t>
      </w:r>
    </w:p>
    <w:p w14:paraId="0F483F2D" w14:textId="77777777" w:rsidR="00372E22" w:rsidRPr="00664896" w:rsidRDefault="00372E22" w:rsidP="00372E22">
      <w:pPr>
        <w:spacing w:line="240" w:lineRule="auto"/>
        <w:jc w:val="both"/>
        <w:rPr>
          <w:rFonts w:ascii="Calibri Light" w:eastAsia="Times New Roman" w:hAnsi="Calibri Light" w:cs="Calibri Light"/>
          <w:lang w:eastAsia="fr-FR"/>
        </w:rPr>
      </w:pPr>
      <w:r w:rsidRPr="00372E22">
        <w:rPr>
          <w:rFonts w:ascii="Calibri Light" w:eastAsia="Times New Roman" w:hAnsi="Calibri Light" w:cs="Calibri Light"/>
          <w:lang w:eastAsia="fr-FR"/>
        </w:rPr>
        <w:t>En fonction des notifications et demandes, d’autres subventions pourraient s’y ajouter en cours d’année.</w:t>
      </w:r>
      <w:r>
        <w:rPr>
          <w:rFonts w:ascii="Calibri Light" w:eastAsia="Times New Roman" w:hAnsi="Calibri Light" w:cs="Calibri Light"/>
          <w:lang w:eastAsia="fr-FR"/>
        </w:rPr>
        <w:t xml:space="preserve"> </w:t>
      </w:r>
    </w:p>
    <w:p w14:paraId="4876F9A6" w14:textId="77777777" w:rsidR="00A20B22" w:rsidRDefault="00A20B22" w:rsidP="003C73F8">
      <w:pPr>
        <w:spacing w:line="240" w:lineRule="auto"/>
        <w:jc w:val="both"/>
        <w:rPr>
          <w:rFonts w:ascii="Calibri Light" w:eastAsia="Times New Roman" w:hAnsi="Calibri Light" w:cs="Calibri Light"/>
          <w:lang w:eastAsia="fr-FR"/>
        </w:rPr>
      </w:pPr>
    </w:p>
    <w:sectPr w:rsidR="00A20B22" w:rsidSect="00FB0B3A">
      <w:footerReference w:type="default" r:id="rId12"/>
      <w:footerReference w:type="first" r:id="rId13"/>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5B09D" w14:textId="77777777" w:rsidR="00D63359" w:rsidRDefault="00D63359" w:rsidP="000D2F2C">
      <w:pPr>
        <w:spacing w:after="0" w:line="240" w:lineRule="auto"/>
      </w:pPr>
      <w:r>
        <w:separator/>
      </w:r>
    </w:p>
  </w:endnote>
  <w:endnote w:type="continuationSeparator" w:id="0">
    <w:p w14:paraId="70E26472" w14:textId="77777777" w:rsidR="00D63359" w:rsidRDefault="00D63359" w:rsidP="000D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B24F" w14:textId="3F3F3F67" w:rsidR="000D2F2C" w:rsidRPr="00453DBA" w:rsidRDefault="00453DBA">
    <w:pPr>
      <w:pStyle w:val="Pieddepage"/>
      <w:rPr>
        <w:sz w:val="18"/>
        <w:szCs w:val="18"/>
      </w:rPr>
    </w:pPr>
    <w:r w:rsidRPr="00453DBA">
      <w:rPr>
        <w:sz w:val="18"/>
        <w:szCs w:val="18"/>
      </w:rPr>
      <w:t>Rapport d’orientations budgétaires 202</w:t>
    </w:r>
    <w:r w:rsidR="002D5CA1">
      <w:rPr>
        <w:sz w:val="18"/>
        <w:szCs w:val="18"/>
      </w:rPr>
      <w:t>6</w:t>
    </w:r>
    <w:r w:rsidRPr="00453DBA">
      <w:rPr>
        <w:sz w:val="18"/>
        <w:szCs w:val="18"/>
      </w:rPr>
      <w:ptab w:relativeTo="margin" w:alignment="center" w:leader="none"/>
    </w:r>
    <w:r w:rsidR="00CF0857">
      <w:rPr>
        <w:sz w:val="18"/>
        <w:szCs w:val="18"/>
      </w:rPr>
      <w:t>CCAS</w:t>
    </w:r>
    <w:r w:rsidRPr="00453DBA">
      <w:rPr>
        <w:sz w:val="18"/>
        <w:szCs w:val="18"/>
      </w:rPr>
      <w:t xml:space="preserve"> de Dinard</w:t>
    </w:r>
    <w:r w:rsidRPr="00453DBA">
      <w:rPr>
        <w:sz w:val="18"/>
        <w:szCs w:val="18"/>
      </w:rPr>
      <w:ptab w:relativeTo="margin" w:alignment="right" w:leader="none"/>
    </w:r>
    <w:r w:rsidRPr="00453DBA">
      <w:rPr>
        <w:sz w:val="18"/>
        <w:szCs w:val="18"/>
      </w:rPr>
      <w:t xml:space="preserve">p. </w:t>
    </w:r>
    <w:r w:rsidRPr="00453DBA">
      <w:rPr>
        <w:sz w:val="18"/>
        <w:szCs w:val="18"/>
      </w:rPr>
      <w:fldChar w:fldCharType="begin"/>
    </w:r>
    <w:r w:rsidRPr="00453DBA">
      <w:rPr>
        <w:sz w:val="18"/>
        <w:szCs w:val="18"/>
      </w:rPr>
      <w:instrText>PAGE   \* MERGEFORMAT</w:instrText>
    </w:r>
    <w:r w:rsidRPr="00453DBA">
      <w:rPr>
        <w:sz w:val="18"/>
        <w:szCs w:val="18"/>
      </w:rPr>
      <w:fldChar w:fldCharType="separate"/>
    </w:r>
    <w:r w:rsidRPr="00453DBA">
      <w:rPr>
        <w:sz w:val="18"/>
        <w:szCs w:val="18"/>
      </w:rPr>
      <w:t>1</w:t>
    </w:r>
    <w:r w:rsidRPr="00453DBA">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8D40" w14:textId="7F1066BD" w:rsidR="003968E8" w:rsidRPr="00453DBA" w:rsidRDefault="00453DBA" w:rsidP="00453DBA">
    <w:pPr>
      <w:pStyle w:val="Pieddepage"/>
      <w:rPr>
        <w:sz w:val="16"/>
        <w:szCs w:val="16"/>
      </w:rPr>
    </w:pPr>
    <w:r w:rsidRPr="00453DBA">
      <w:rPr>
        <w:sz w:val="16"/>
        <w:szCs w:val="16"/>
      </w:rPr>
      <w:t>Rapport d’orientations budgétaires 202</w:t>
    </w:r>
    <w:r w:rsidR="002D5CA1">
      <w:rPr>
        <w:sz w:val="16"/>
        <w:szCs w:val="16"/>
      </w:rPr>
      <w:t>6</w:t>
    </w:r>
    <w:r w:rsidRPr="00453DBA">
      <w:rPr>
        <w:sz w:val="16"/>
        <w:szCs w:val="16"/>
      </w:rPr>
      <w:tab/>
    </w:r>
    <w:r w:rsidRPr="00453DBA">
      <w:rPr>
        <w:sz w:val="16"/>
        <w:szCs w:val="16"/>
      </w:rPr>
      <w:ptab w:relativeTo="margin" w:alignment="center" w:leader="none"/>
    </w:r>
    <w:r w:rsidR="00527BDE">
      <w:rPr>
        <w:sz w:val="16"/>
        <w:szCs w:val="16"/>
      </w:rPr>
      <w:t xml:space="preserve">CCAS </w:t>
    </w:r>
    <w:r w:rsidRPr="00453DBA">
      <w:rPr>
        <w:sz w:val="16"/>
        <w:szCs w:val="16"/>
      </w:rPr>
      <w:t>de Dinard</w:t>
    </w:r>
    <w:r w:rsidRPr="00453DBA">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010D" w14:textId="77777777" w:rsidR="00D63359" w:rsidRDefault="00D63359" w:rsidP="000D2F2C">
      <w:pPr>
        <w:spacing w:after="0" w:line="240" w:lineRule="auto"/>
      </w:pPr>
      <w:r>
        <w:separator/>
      </w:r>
    </w:p>
  </w:footnote>
  <w:footnote w:type="continuationSeparator" w:id="0">
    <w:p w14:paraId="6037B07D" w14:textId="77777777" w:rsidR="00D63359" w:rsidRDefault="00D63359" w:rsidP="000D2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C20DC"/>
    <w:multiLevelType w:val="hybridMultilevel"/>
    <w:tmpl w:val="ECC4B416"/>
    <w:lvl w:ilvl="0" w:tplc="596C09A8">
      <w:start w:val="2"/>
      <w:numFmt w:val="bullet"/>
      <w:pStyle w:val="Titre3"/>
      <w:lvlText w:val="-"/>
      <w:lvlJc w:val="left"/>
      <w:rPr>
        <w:rFonts w:ascii="Calibri Light" w:eastAsia="Times New Roman"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BE315F"/>
    <w:multiLevelType w:val="hybridMultilevel"/>
    <w:tmpl w:val="8626E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DC770A"/>
    <w:multiLevelType w:val="multilevel"/>
    <w:tmpl w:val="1392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B4458"/>
    <w:multiLevelType w:val="multilevel"/>
    <w:tmpl w:val="10A2652C"/>
    <w:lvl w:ilvl="0">
      <w:start w:val="2"/>
      <w:numFmt w:val="bullet"/>
      <w:lvlText w:val="-"/>
      <w:lvlJc w:val="left"/>
      <w:pPr>
        <w:tabs>
          <w:tab w:val="num" w:pos="720"/>
        </w:tabs>
        <w:ind w:left="720" w:hanging="360"/>
      </w:pPr>
      <w:rPr>
        <w:rFonts w:ascii="Calibri Light" w:eastAsia="Times New Roman" w:hAnsi="Calibri Light" w:cs="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F1D62"/>
    <w:multiLevelType w:val="hybridMultilevel"/>
    <w:tmpl w:val="FA02DD0A"/>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5" w15:restartNumberingAfterBreak="0">
    <w:nsid w:val="397F005B"/>
    <w:multiLevelType w:val="hybridMultilevel"/>
    <w:tmpl w:val="807C7FDE"/>
    <w:lvl w:ilvl="0" w:tplc="53321D2A">
      <w:start w:val="1"/>
      <w:numFmt w:val="decimal"/>
      <w:pStyle w:val="Titre2"/>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 w15:restartNumberingAfterBreak="0">
    <w:nsid w:val="3F3E6E89"/>
    <w:multiLevelType w:val="hybridMultilevel"/>
    <w:tmpl w:val="8B3A9F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B0A1024"/>
    <w:multiLevelType w:val="hybridMultilevel"/>
    <w:tmpl w:val="D2663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294CC9"/>
    <w:multiLevelType w:val="hybridMultilevel"/>
    <w:tmpl w:val="0F489B40"/>
    <w:lvl w:ilvl="0" w:tplc="A072E096">
      <w:start w:val="1"/>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6F384D9E">
      <w:start w:val="1"/>
      <w:numFmt w:val="upperRoman"/>
      <w:pStyle w:val="Style1"/>
      <w:lvlText w:val="%3."/>
      <w:lvlJc w:val="right"/>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38434D3"/>
    <w:multiLevelType w:val="hybridMultilevel"/>
    <w:tmpl w:val="6FA0D5E0"/>
    <w:lvl w:ilvl="0" w:tplc="749AA85A">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5586445">
    <w:abstractNumId w:val="0"/>
  </w:num>
  <w:num w:numId="2" w16cid:durableId="324600619">
    <w:abstractNumId w:val="5"/>
  </w:num>
  <w:num w:numId="3" w16cid:durableId="212885197">
    <w:abstractNumId w:val="8"/>
  </w:num>
  <w:num w:numId="4" w16cid:durableId="701830584">
    <w:abstractNumId w:val="3"/>
  </w:num>
  <w:num w:numId="5" w16cid:durableId="1511025479">
    <w:abstractNumId w:val="5"/>
    <w:lvlOverride w:ilvl="0">
      <w:startOverride w:val="1"/>
    </w:lvlOverride>
  </w:num>
  <w:num w:numId="6" w16cid:durableId="2140412016">
    <w:abstractNumId w:val="5"/>
    <w:lvlOverride w:ilvl="0">
      <w:startOverride w:val="1"/>
    </w:lvlOverride>
  </w:num>
  <w:num w:numId="7" w16cid:durableId="1274627450">
    <w:abstractNumId w:val="5"/>
    <w:lvlOverride w:ilvl="0">
      <w:startOverride w:val="1"/>
    </w:lvlOverride>
  </w:num>
  <w:num w:numId="8" w16cid:durableId="1888640935">
    <w:abstractNumId w:val="5"/>
  </w:num>
  <w:num w:numId="9" w16cid:durableId="472261187">
    <w:abstractNumId w:val="5"/>
    <w:lvlOverride w:ilvl="0">
      <w:startOverride w:val="1"/>
    </w:lvlOverride>
  </w:num>
  <w:num w:numId="10" w16cid:durableId="644315769">
    <w:abstractNumId w:val="9"/>
  </w:num>
  <w:num w:numId="11" w16cid:durableId="1186483860">
    <w:abstractNumId w:val="6"/>
  </w:num>
  <w:num w:numId="12" w16cid:durableId="11995567">
    <w:abstractNumId w:val="1"/>
  </w:num>
  <w:num w:numId="13" w16cid:durableId="775445012">
    <w:abstractNumId w:val="2"/>
  </w:num>
  <w:num w:numId="14" w16cid:durableId="1418600414">
    <w:abstractNumId w:val="4"/>
  </w:num>
  <w:num w:numId="15" w16cid:durableId="76876857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FC"/>
    <w:rsid w:val="00005439"/>
    <w:rsid w:val="0000682F"/>
    <w:rsid w:val="00012CFE"/>
    <w:rsid w:val="0001368C"/>
    <w:rsid w:val="0001421C"/>
    <w:rsid w:val="00014806"/>
    <w:rsid w:val="0001598C"/>
    <w:rsid w:val="000160A7"/>
    <w:rsid w:val="00021E64"/>
    <w:rsid w:val="00022971"/>
    <w:rsid w:val="00023D32"/>
    <w:rsid w:val="00024E5A"/>
    <w:rsid w:val="00025090"/>
    <w:rsid w:val="00025426"/>
    <w:rsid w:val="00027568"/>
    <w:rsid w:val="000322F6"/>
    <w:rsid w:val="00032E13"/>
    <w:rsid w:val="00034341"/>
    <w:rsid w:val="000355F1"/>
    <w:rsid w:val="00036837"/>
    <w:rsid w:val="00042B68"/>
    <w:rsid w:val="00045278"/>
    <w:rsid w:val="00046561"/>
    <w:rsid w:val="00046E7B"/>
    <w:rsid w:val="00053756"/>
    <w:rsid w:val="0005393C"/>
    <w:rsid w:val="000549C4"/>
    <w:rsid w:val="000571F5"/>
    <w:rsid w:val="00060040"/>
    <w:rsid w:val="00060286"/>
    <w:rsid w:val="0006164E"/>
    <w:rsid w:val="0006196C"/>
    <w:rsid w:val="000629F8"/>
    <w:rsid w:val="000634A2"/>
    <w:rsid w:val="00067823"/>
    <w:rsid w:val="000679B2"/>
    <w:rsid w:val="000708CD"/>
    <w:rsid w:val="00070FDB"/>
    <w:rsid w:val="00071A6D"/>
    <w:rsid w:val="0007315C"/>
    <w:rsid w:val="00073371"/>
    <w:rsid w:val="0007702F"/>
    <w:rsid w:val="000800C7"/>
    <w:rsid w:val="000808A9"/>
    <w:rsid w:val="000824A5"/>
    <w:rsid w:val="00084E47"/>
    <w:rsid w:val="00085174"/>
    <w:rsid w:val="000856A3"/>
    <w:rsid w:val="0008662A"/>
    <w:rsid w:val="000871B6"/>
    <w:rsid w:val="000879EF"/>
    <w:rsid w:val="00090265"/>
    <w:rsid w:val="00090B32"/>
    <w:rsid w:val="00092FCD"/>
    <w:rsid w:val="0009507E"/>
    <w:rsid w:val="00095BA4"/>
    <w:rsid w:val="000979F7"/>
    <w:rsid w:val="000A1347"/>
    <w:rsid w:val="000A1EA0"/>
    <w:rsid w:val="000A73B5"/>
    <w:rsid w:val="000B0201"/>
    <w:rsid w:val="000B030D"/>
    <w:rsid w:val="000B208D"/>
    <w:rsid w:val="000B2D00"/>
    <w:rsid w:val="000B5896"/>
    <w:rsid w:val="000B607A"/>
    <w:rsid w:val="000B7CC5"/>
    <w:rsid w:val="000C2336"/>
    <w:rsid w:val="000C4B96"/>
    <w:rsid w:val="000C63FC"/>
    <w:rsid w:val="000C6C2D"/>
    <w:rsid w:val="000C6FD3"/>
    <w:rsid w:val="000C706C"/>
    <w:rsid w:val="000C7334"/>
    <w:rsid w:val="000C7593"/>
    <w:rsid w:val="000C7946"/>
    <w:rsid w:val="000D2BF1"/>
    <w:rsid w:val="000D2F2C"/>
    <w:rsid w:val="000D2FD3"/>
    <w:rsid w:val="000D4FFC"/>
    <w:rsid w:val="000D516B"/>
    <w:rsid w:val="000D66AA"/>
    <w:rsid w:val="000D7D78"/>
    <w:rsid w:val="000E051C"/>
    <w:rsid w:val="000E10F2"/>
    <w:rsid w:val="000E56A4"/>
    <w:rsid w:val="000E5BFA"/>
    <w:rsid w:val="000E5E07"/>
    <w:rsid w:val="000E75F2"/>
    <w:rsid w:val="000F409B"/>
    <w:rsid w:val="000F490E"/>
    <w:rsid w:val="000F51B3"/>
    <w:rsid w:val="000F62F6"/>
    <w:rsid w:val="000F6D72"/>
    <w:rsid w:val="000F770E"/>
    <w:rsid w:val="0010202C"/>
    <w:rsid w:val="001038AB"/>
    <w:rsid w:val="00106506"/>
    <w:rsid w:val="0010657A"/>
    <w:rsid w:val="001114E2"/>
    <w:rsid w:val="00112548"/>
    <w:rsid w:val="00113D75"/>
    <w:rsid w:val="001172C5"/>
    <w:rsid w:val="00117806"/>
    <w:rsid w:val="00121550"/>
    <w:rsid w:val="001227A7"/>
    <w:rsid w:val="001247AB"/>
    <w:rsid w:val="00125201"/>
    <w:rsid w:val="00125C35"/>
    <w:rsid w:val="0013160A"/>
    <w:rsid w:val="00135E1D"/>
    <w:rsid w:val="00137B91"/>
    <w:rsid w:val="00141F53"/>
    <w:rsid w:val="0014208B"/>
    <w:rsid w:val="00144276"/>
    <w:rsid w:val="00147E57"/>
    <w:rsid w:val="0015066B"/>
    <w:rsid w:val="00154ABB"/>
    <w:rsid w:val="00157C8F"/>
    <w:rsid w:val="00161D1B"/>
    <w:rsid w:val="00161D95"/>
    <w:rsid w:val="00162301"/>
    <w:rsid w:val="001650A5"/>
    <w:rsid w:val="00166FBB"/>
    <w:rsid w:val="001710DA"/>
    <w:rsid w:val="00171168"/>
    <w:rsid w:val="00171619"/>
    <w:rsid w:val="001744E9"/>
    <w:rsid w:val="00175D25"/>
    <w:rsid w:val="00181524"/>
    <w:rsid w:val="00182244"/>
    <w:rsid w:val="00182506"/>
    <w:rsid w:val="00182796"/>
    <w:rsid w:val="00182F58"/>
    <w:rsid w:val="00184307"/>
    <w:rsid w:val="00185F34"/>
    <w:rsid w:val="001868FA"/>
    <w:rsid w:val="00186DEC"/>
    <w:rsid w:val="00193346"/>
    <w:rsid w:val="00193DBC"/>
    <w:rsid w:val="00194BAC"/>
    <w:rsid w:val="00196507"/>
    <w:rsid w:val="00197442"/>
    <w:rsid w:val="001A14E3"/>
    <w:rsid w:val="001A4447"/>
    <w:rsid w:val="001A67E5"/>
    <w:rsid w:val="001A6D30"/>
    <w:rsid w:val="001B0B14"/>
    <w:rsid w:val="001B1029"/>
    <w:rsid w:val="001B19F3"/>
    <w:rsid w:val="001B4053"/>
    <w:rsid w:val="001B4270"/>
    <w:rsid w:val="001B45B2"/>
    <w:rsid w:val="001B4E5B"/>
    <w:rsid w:val="001B54EB"/>
    <w:rsid w:val="001B65A4"/>
    <w:rsid w:val="001B7DB1"/>
    <w:rsid w:val="001C0550"/>
    <w:rsid w:val="001C05E5"/>
    <w:rsid w:val="001C2C6F"/>
    <w:rsid w:val="001C374E"/>
    <w:rsid w:val="001C3917"/>
    <w:rsid w:val="001D1266"/>
    <w:rsid w:val="001D51F6"/>
    <w:rsid w:val="001D682B"/>
    <w:rsid w:val="001E01EC"/>
    <w:rsid w:val="001E258E"/>
    <w:rsid w:val="001E3315"/>
    <w:rsid w:val="001E40AB"/>
    <w:rsid w:val="001E4EEA"/>
    <w:rsid w:val="001E5422"/>
    <w:rsid w:val="001E6861"/>
    <w:rsid w:val="001E6892"/>
    <w:rsid w:val="001E742B"/>
    <w:rsid w:val="001E761E"/>
    <w:rsid w:val="001F2275"/>
    <w:rsid w:val="001F3E71"/>
    <w:rsid w:val="001F58A8"/>
    <w:rsid w:val="001F5D1C"/>
    <w:rsid w:val="001F63B0"/>
    <w:rsid w:val="0020071E"/>
    <w:rsid w:val="00201CDD"/>
    <w:rsid w:val="00202E42"/>
    <w:rsid w:val="00205074"/>
    <w:rsid w:val="002128E0"/>
    <w:rsid w:val="00212C6A"/>
    <w:rsid w:val="00215544"/>
    <w:rsid w:val="00216757"/>
    <w:rsid w:val="002168A0"/>
    <w:rsid w:val="00221EC8"/>
    <w:rsid w:val="0022426C"/>
    <w:rsid w:val="002249D8"/>
    <w:rsid w:val="002255F4"/>
    <w:rsid w:val="00225CCF"/>
    <w:rsid w:val="00227656"/>
    <w:rsid w:val="00227AB0"/>
    <w:rsid w:val="002310B6"/>
    <w:rsid w:val="00231CB2"/>
    <w:rsid w:val="00234D10"/>
    <w:rsid w:val="00236A64"/>
    <w:rsid w:val="00236FB0"/>
    <w:rsid w:val="00237673"/>
    <w:rsid w:val="002422E2"/>
    <w:rsid w:val="00243B9F"/>
    <w:rsid w:val="0024675B"/>
    <w:rsid w:val="00246AAE"/>
    <w:rsid w:val="00246FD4"/>
    <w:rsid w:val="002500C9"/>
    <w:rsid w:val="00251979"/>
    <w:rsid w:val="00251E81"/>
    <w:rsid w:val="002520A5"/>
    <w:rsid w:val="00255607"/>
    <w:rsid w:val="002578BB"/>
    <w:rsid w:val="002623FC"/>
    <w:rsid w:val="002638AF"/>
    <w:rsid w:val="002655B2"/>
    <w:rsid w:val="00266091"/>
    <w:rsid w:val="002666AC"/>
    <w:rsid w:val="002712E6"/>
    <w:rsid w:val="00271785"/>
    <w:rsid w:val="002771AB"/>
    <w:rsid w:val="00277403"/>
    <w:rsid w:val="00277637"/>
    <w:rsid w:val="00280DB5"/>
    <w:rsid w:val="00281A39"/>
    <w:rsid w:val="002832DE"/>
    <w:rsid w:val="00283E68"/>
    <w:rsid w:val="00284214"/>
    <w:rsid w:val="00284390"/>
    <w:rsid w:val="00287680"/>
    <w:rsid w:val="0029003A"/>
    <w:rsid w:val="002900A9"/>
    <w:rsid w:val="002909F1"/>
    <w:rsid w:val="00293576"/>
    <w:rsid w:val="00297B8C"/>
    <w:rsid w:val="002A18DE"/>
    <w:rsid w:val="002B0440"/>
    <w:rsid w:val="002B64B8"/>
    <w:rsid w:val="002B65AD"/>
    <w:rsid w:val="002B7072"/>
    <w:rsid w:val="002C0647"/>
    <w:rsid w:val="002C43E6"/>
    <w:rsid w:val="002C45DF"/>
    <w:rsid w:val="002C5B73"/>
    <w:rsid w:val="002C5C9A"/>
    <w:rsid w:val="002C761F"/>
    <w:rsid w:val="002D06C3"/>
    <w:rsid w:val="002D18D4"/>
    <w:rsid w:val="002D5CA1"/>
    <w:rsid w:val="002D73BA"/>
    <w:rsid w:val="002E0F70"/>
    <w:rsid w:val="002E1880"/>
    <w:rsid w:val="002E388A"/>
    <w:rsid w:val="002E57D6"/>
    <w:rsid w:val="002E6348"/>
    <w:rsid w:val="002F0DFD"/>
    <w:rsid w:val="002F209D"/>
    <w:rsid w:val="002F2297"/>
    <w:rsid w:val="002F3428"/>
    <w:rsid w:val="002F3C13"/>
    <w:rsid w:val="002F4D02"/>
    <w:rsid w:val="00300B92"/>
    <w:rsid w:val="00303F83"/>
    <w:rsid w:val="003043ED"/>
    <w:rsid w:val="00304EC1"/>
    <w:rsid w:val="003063E4"/>
    <w:rsid w:val="003066B3"/>
    <w:rsid w:val="00307677"/>
    <w:rsid w:val="003116CD"/>
    <w:rsid w:val="0031178C"/>
    <w:rsid w:val="00311ABB"/>
    <w:rsid w:val="003145B3"/>
    <w:rsid w:val="00316213"/>
    <w:rsid w:val="00316C16"/>
    <w:rsid w:val="00325826"/>
    <w:rsid w:val="00333FBC"/>
    <w:rsid w:val="00334789"/>
    <w:rsid w:val="00336E02"/>
    <w:rsid w:val="0033713B"/>
    <w:rsid w:val="00337177"/>
    <w:rsid w:val="00344847"/>
    <w:rsid w:val="0034597D"/>
    <w:rsid w:val="003462E1"/>
    <w:rsid w:val="0034653E"/>
    <w:rsid w:val="00350B77"/>
    <w:rsid w:val="00352246"/>
    <w:rsid w:val="00355183"/>
    <w:rsid w:val="003605F2"/>
    <w:rsid w:val="00361749"/>
    <w:rsid w:val="00362C00"/>
    <w:rsid w:val="00362CA4"/>
    <w:rsid w:val="003639F9"/>
    <w:rsid w:val="00363F3B"/>
    <w:rsid w:val="003659CF"/>
    <w:rsid w:val="0036659C"/>
    <w:rsid w:val="00370E79"/>
    <w:rsid w:val="003712D8"/>
    <w:rsid w:val="00372E22"/>
    <w:rsid w:val="00373932"/>
    <w:rsid w:val="00373C4B"/>
    <w:rsid w:val="0037724E"/>
    <w:rsid w:val="003773B8"/>
    <w:rsid w:val="00377450"/>
    <w:rsid w:val="0038037C"/>
    <w:rsid w:val="00380FE7"/>
    <w:rsid w:val="0038112D"/>
    <w:rsid w:val="00382D07"/>
    <w:rsid w:val="00384944"/>
    <w:rsid w:val="003851C2"/>
    <w:rsid w:val="003904E1"/>
    <w:rsid w:val="00391748"/>
    <w:rsid w:val="003923CA"/>
    <w:rsid w:val="003933A1"/>
    <w:rsid w:val="00394D83"/>
    <w:rsid w:val="003968E8"/>
    <w:rsid w:val="003A0DFD"/>
    <w:rsid w:val="003A284B"/>
    <w:rsid w:val="003A3B0D"/>
    <w:rsid w:val="003A53B7"/>
    <w:rsid w:val="003A5C15"/>
    <w:rsid w:val="003A65FF"/>
    <w:rsid w:val="003A6D8C"/>
    <w:rsid w:val="003A70DE"/>
    <w:rsid w:val="003B0747"/>
    <w:rsid w:val="003B3326"/>
    <w:rsid w:val="003B46F0"/>
    <w:rsid w:val="003B4EAD"/>
    <w:rsid w:val="003B52F0"/>
    <w:rsid w:val="003B6BF7"/>
    <w:rsid w:val="003C0089"/>
    <w:rsid w:val="003C016F"/>
    <w:rsid w:val="003C0A30"/>
    <w:rsid w:val="003C5770"/>
    <w:rsid w:val="003C73F0"/>
    <w:rsid w:val="003C73F8"/>
    <w:rsid w:val="003D174C"/>
    <w:rsid w:val="003D2683"/>
    <w:rsid w:val="003D2933"/>
    <w:rsid w:val="003E191A"/>
    <w:rsid w:val="003E3000"/>
    <w:rsid w:val="003E3D30"/>
    <w:rsid w:val="003E46B6"/>
    <w:rsid w:val="003E546F"/>
    <w:rsid w:val="003E68FC"/>
    <w:rsid w:val="003F0BBD"/>
    <w:rsid w:val="003F11E6"/>
    <w:rsid w:val="003F281D"/>
    <w:rsid w:val="003F763E"/>
    <w:rsid w:val="00400AE2"/>
    <w:rsid w:val="004018B9"/>
    <w:rsid w:val="0040239C"/>
    <w:rsid w:val="004023BB"/>
    <w:rsid w:val="004029F6"/>
    <w:rsid w:val="004059C2"/>
    <w:rsid w:val="004068A1"/>
    <w:rsid w:val="00406DED"/>
    <w:rsid w:val="00412473"/>
    <w:rsid w:val="00421FF9"/>
    <w:rsid w:val="00425B74"/>
    <w:rsid w:val="00425BC3"/>
    <w:rsid w:val="004263A8"/>
    <w:rsid w:val="00426514"/>
    <w:rsid w:val="004314EC"/>
    <w:rsid w:val="00434C17"/>
    <w:rsid w:val="00435475"/>
    <w:rsid w:val="00441B12"/>
    <w:rsid w:val="00442DDD"/>
    <w:rsid w:val="00443DC8"/>
    <w:rsid w:val="00445D2C"/>
    <w:rsid w:val="00445D38"/>
    <w:rsid w:val="004522C0"/>
    <w:rsid w:val="004526A1"/>
    <w:rsid w:val="00452C94"/>
    <w:rsid w:val="00453466"/>
    <w:rsid w:val="00453DBA"/>
    <w:rsid w:val="004554D2"/>
    <w:rsid w:val="004566B9"/>
    <w:rsid w:val="0045715B"/>
    <w:rsid w:val="00457CB7"/>
    <w:rsid w:val="00460B88"/>
    <w:rsid w:val="00461034"/>
    <w:rsid w:val="00461453"/>
    <w:rsid w:val="0046506D"/>
    <w:rsid w:val="004668B3"/>
    <w:rsid w:val="00467F42"/>
    <w:rsid w:val="0047002B"/>
    <w:rsid w:val="004716D5"/>
    <w:rsid w:val="00471723"/>
    <w:rsid w:val="00472C48"/>
    <w:rsid w:val="00473AC5"/>
    <w:rsid w:val="00474D75"/>
    <w:rsid w:val="004758CD"/>
    <w:rsid w:val="004758DA"/>
    <w:rsid w:val="00477630"/>
    <w:rsid w:val="004808ED"/>
    <w:rsid w:val="00483560"/>
    <w:rsid w:val="00484420"/>
    <w:rsid w:val="00485624"/>
    <w:rsid w:val="00485AED"/>
    <w:rsid w:val="00490D19"/>
    <w:rsid w:val="0049177D"/>
    <w:rsid w:val="0049184B"/>
    <w:rsid w:val="004921CC"/>
    <w:rsid w:val="00492760"/>
    <w:rsid w:val="004946A1"/>
    <w:rsid w:val="00496037"/>
    <w:rsid w:val="004968E5"/>
    <w:rsid w:val="004973F4"/>
    <w:rsid w:val="004975FE"/>
    <w:rsid w:val="004A25E9"/>
    <w:rsid w:val="004A54EB"/>
    <w:rsid w:val="004A7E69"/>
    <w:rsid w:val="004B22B9"/>
    <w:rsid w:val="004B243F"/>
    <w:rsid w:val="004B3C5F"/>
    <w:rsid w:val="004B4080"/>
    <w:rsid w:val="004B4224"/>
    <w:rsid w:val="004B5F60"/>
    <w:rsid w:val="004B6473"/>
    <w:rsid w:val="004C0BA6"/>
    <w:rsid w:val="004C191B"/>
    <w:rsid w:val="004C2206"/>
    <w:rsid w:val="004C2F04"/>
    <w:rsid w:val="004C5F96"/>
    <w:rsid w:val="004C63CC"/>
    <w:rsid w:val="004C677D"/>
    <w:rsid w:val="004D1B38"/>
    <w:rsid w:val="004D3EE3"/>
    <w:rsid w:val="004D44DA"/>
    <w:rsid w:val="004D5263"/>
    <w:rsid w:val="004D53B4"/>
    <w:rsid w:val="004D5D06"/>
    <w:rsid w:val="004E0223"/>
    <w:rsid w:val="004E19FF"/>
    <w:rsid w:val="004E23F4"/>
    <w:rsid w:val="004E285C"/>
    <w:rsid w:val="004E3B71"/>
    <w:rsid w:val="004E49CE"/>
    <w:rsid w:val="004E5492"/>
    <w:rsid w:val="004E754C"/>
    <w:rsid w:val="004F05DA"/>
    <w:rsid w:val="004F0871"/>
    <w:rsid w:val="004F4968"/>
    <w:rsid w:val="004F4F7C"/>
    <w:rsid w:val="004F6CC0"/>
    <w:rsid w:val="004F7671"/>
    <w:rsid w:val="004F7E78"/>
    <w:rsid w:val="004F7FE1"/>
    <w:rsid w:val="00501EE0"/>
    <w:rsid w:val="0050384B"/>
    <w:rsid w:val="00511D6D"/>
    <w:rsid w:val="00513923"/>
    <w:rsid w:val="00514F23"/>
    <w:rsid w:val="0052038B"/>
    <w:rsid w:val="0052065C"/>
    <w:rsid w:val="00521798"/>
    <w:rsid w:val="00521F42"/>
    <w:rsid w:val="00524101"/>
    <w:rsid w:val="00524C31"/>
    <w:rsid w:val="0052637E"/>
    <w:rsid w:val="00526812"/>
    <w:rsid w:val="00527BDE"/>
    <w:rsid w:val="00530B62"/>
    <w:rsid w:val="00532124"/>
    <w:rsid w:val="005338D9"/>
    <w:rsid w:val="00534057"/>
    <w:rsid w:val="0053556A"/>
    <w:rsid w:val="005377AA"/>
    <w:rsid w:val="005430AB"/>
    <w:rsid w:val="005431E8"/>
    <w:rsid w:val="00550748"/>
    <w:rsid w:val="005509ED"/>
    <w:rsid w:val="00551E01"/>
    <w:rsid w:val="0055244A"/>
    <w:rsid w:val="005536A6"/>
    <w:rsid w:val="00555CE7"/>
    <w:rsid w:val="00556ABF"/>
    <w:rsid w:val="00560E60"/>
    <w:rsid w:val="0056493C"/>
    <w:rsid w:val="0056520D"/>
    <w:rsid w:val="005653BE"/>
    <w:rsid w:val="00566436"/>
    <w:rsid w:val="005679CE"/>
    <w:rsid w:val="0057072D"/>
    <w:rsid w:val="0057170E"/>
    <w:rsid w:val="00571F3D"/>
    <w:rsid w:val="005724F0"/>
    <w:rsid w:val="00572843"/>
    <w:rsid w:val="00572F1B"/>
    <w:rsid w:val="0057336D"/>
    <w:rsid w:val="005744D2"/>
    <w:rsid w:val="00574F47"/>
    <w:rsid w:val="00576009"/>
    <w:rsid w:val="0057600A"/>
    <w:rsid w:val="00577A67"/>
    <w:rsid w:val="0058390B"/>
    <w:rsid w:val="0059056C"/>
    <w:rsid w:val="00591ED7"/>
    <w:rsid w:val="00592214"/>
    <w:rsid w:val="0059274D"/>
    <w:rsid w:val="0059664A"/>
    <w:rsid w:val="00596A58"/>
    <w:rsid w:val="005971BF"/>
    <w:rsid w:val="00597C8E"/>
    <w:rsid w:val="00597DD9"/>
    <w:rsid w:val="005A79D7"/>
    <w:rsid w:val="005A7C22"/>
    <w:rsid w:val="005B09B7"/>
    <w:rsid w:val="005B338C"/>
    <w:rsid w:val="005B5F84"/>
    <w:rsid w:val="005B7638"/>
    <w:rsid w:val="005C0C77"/>
    <w:rsid w:val="005C1FA6"/>
    <w:rsid w:val="005C25CC"/>
    <w:rsid w:val="005C39A7"/>
    <w:rsid w:val="005C5B3A"/>
    <w:rsid w:val="005C6437"/>
    <w:rsid w:val="005C77F3"/>
    <w:rsid w:val="005D22C3"/>
    <w:rsid w:val="005D3D8D"/>
    <w:rsid w:val="005E0438"/>
    <w:rsid w:val="005E2A21"/>
    <w:rsid w:val="005E2E2E"/>
    <w:rsid w:val="005E377B"/>
    <w:rsid w:val="005E4419"/>
    <w:rsid w:val="005E4921"/>
    <w:rsid w:val="005E63DC"/>
    <w:rsid w:val="005E67C1"/>
    <w:rsid w:val="005E693C"/>
    <w:rsid w:val="005F0911"/>
    <w:rsid w:val="005F3142"/>
    <w:rsid w:val="005F3C3F"/>
    <w:rsid w:val="005F3D5C"/>
    <w:rsid w:val="00603021"/>
    <w:rsid w:val="00603323"/>
    <w:rsid w:val="00603D45"/>
    <w:rsid w:val="00610F10"/>
    <w:rsid w:val="00611A86"/>
    <w:rsid w:val="00612BF6"/>
    <w:rsid w:val="0061374B"/>
    <w:rsid w:val="00613B86"/>
    <w:rsid w:val="006145B1"/>
    <w:rsid w:val="00614C16"/>
    <w:rsid w:val="006172FE"/>
    <w:rsid w:val="00620285"/>
    <w:rsid w:val="006205A2"/>
    <w:rsid w:val="0062234B"/>
    <w:rsid w:val="00622D18"/>
    <w:rsid w:val="00626E56"/>
    <w:rsid w:val="00630599"/>
    <w:rsid w:val="0063123B"/>
    <w:rsid w:val="00633DA0"/>
    <w:rsid w:val="00634CB9"/>
    <w:rsid w:val="0064027D"/>
    <w:rsid w:val="006403BC"/>
    <w:rsid w:val="00640500"/>
    <w:rsid w:val="00640723"/>
    <w:rsid w:val="0064105D"/>
    <w:rsid w:val="00641689"/>
    <w:rsid w:val="006416F8"/>
    <w:rsid w:val="00641BC1"/>
    <w:rsid w:val="00642862"/>
    <w:rsid w:val="00645ACF"/>
    <w:rsid w:val="00646710"/>
    <w:rsid w:val="0065044F"/>
    <w:rsid w:val="0065077F"/>
    <w:rsid w:val="00652E30"/>
    <w:rsid w:val="00653A35"/>
    <w:rsid w:val="00654B1C"/>
    <w:rsid w:val="0066008D"/>
    <w:rsid w:val="00660315"/>
    <w:rsid w:val="00660F03"/>
    <w:rsid w:val="006620A4"/>
    <w:rsid w:val="00663CDF"/>
    <w:rsid w:val="00664896"/>
    <w:rsid w:val="00664C51"/>
    <w:rsid w:val="0066618F"/>
    <w:rsid w:val="00666B0E"/>
    <w:rsid w:val="00667894"/>
    <w:rsid w:val="006678FA"/>
    <w:rsid w:val="00672AC6"/>
    <w:rsid w:val="006740F4"/>
    <w:rsid w:val="00675BDC"/>
    <w:rsid w:val="00677363"/>
    <w:rsid w:val="00677B2F"/>
    <w:rsid w:val="00681514"/>
    <w:rsid w:val="00685A90"/>
    <w:rsid w:val="00686164"/>
    <w:rsid w:val="00690B2C"/>
    <w:rsid w:val="006912AF"/>
    <w:rsid w:val="006920A0"/>
    <w:rsid w:val="0069394F"/>
    <w:rsid w:val="00694C53"/>
    <w:rsid w:val="00697521"/>
    <w:rsid w:val="006A03E6"/>
    <w:rsid w:val="006A1875"/>
    <w:rsid w:val="006A4BC0"/>
    <w:rsid w:val="006A7568"/>
    <w:rsid w:val="006B062C"/>
    <w:rsid w:val="006B0D23"/>
    <w:rsid w:val="006C15F7"/>
    <w:rsid w:val="006C4863"/>
    <w:rsid w:val="006C53C4"/>
    <w:rsid w:val="006C55CE"/>
    <w:rsid w:val="006C628B"/>
    <w:rsid w:val="006C64B5"/>
    <w:rsid w:val="006C784B"/>
    <w:rsid w:val="006D0FF9"/>
    <w:rsid w:val="006D22A0"/>
    <w:rsid w:val="006D369F"/>
    <w:rsid w:val="006D370E"/>
    <w:rsid w:val="006D3DB0"/>
    <w:rsid w:val="006D6DD6"/>
    <w:rsid w:val="006E21E8"/>
    <w:rsid w:val="006E2351"/>
    <w:rsid w:val="006E4C6F"/>
    <w:rsid w:val="006E4FA9"/>
    <w:rsid w:val="006E5ED9"/>
    <w:rsid w:val="006E66A2"/>
    <w:rsid w:val="006F034B"/>
    <w:rsid w:val="006F125B"/>
    <w:rsid w:val="006F12D3"/>
    <w:rsid w:val="006F2168"/>
    <w:rsid w:val="006F373F"/>
    <w:rsid w:val="006F3A45"/>
    <w:rsid w:val="006F4337"/>
    <w:rsid w:val="006F4377"/>
    <w:rsid w:val="006F47A4"/>
    <w:rsid w:val="006F6C8A"/>
    <w:rsid w:val="006F6F73"/>
    <w:rsid w:val="006F76A7"/>
    <w:rsid w:val="00700768"/>
    <w:rsid w:val="007038FB"/>
    <w:rsid w:val="00703A04"/>
    <w:rsid w:val="00705B65"/>
    <w:rsid w:val="00706E17"/>
    <w:rsid w:val="0071079B"/>
    <w:rsid w:val="00714F4F"/>
    <w:rsid w:val="00716401"/>
    <w:rsid w:val="007177E1"/>
    <w:rsid w:val="00722EFC"/>
    <w:rsid w:val="007232CC"/>
    <w:rsid w:val="00724A54"/>
    <w:rsid w:val="0072559B"/>
    <w:rsid w:val="00726A20"/>
    <w:rsid w:val="0072763F"/>
    <w:rsid w:val="00727B75"/>
    <w:rsid w:val="00727D5D"/>
    <w:rsid w:val="007315B5"/>
    <w:rsid w:val="00732485"/>
    <w:rsid w:val="0073603D"/>
    <w:rsid w:val="00736B92"/>
    <w:rsid w:val="00737CE1"/>
    <w:rsid w:val="007412B4"/>
    <w:rsid w:val="00741C54"/>
    <w:rsid w:val="00744199"/>
    <w:rsid w:val="00745FD6"/>
    <w:rsid w:val="00746BED"/>
    <w:rsid w:val="00760593"/>
    <w:rsid w:val="007612D7"/>
    <w:rsid w:val="00761F79"/>
    <w:rsid w:val="00762D08"/>
    <w:rsid w:val="00762E50"/>
    <w:rsid w:val="00763C42"/>
    <w:rsid w:val="0076614B"/>
    <w:rsid w:val="00766176"/>
    <w:rsid w:val="00766D4C"/>
    <w:rsid w:val="00767ED7"/>
    <w:rsid w:val="00770664"/>
    <w:rsid w:val="00770A8C"/>
    <w:rsid w:val="00772CFD"/>
    <w:rsid w:val="00774632"/>
    <w:rsid w:val="00774A94"/>
    <w:rsid w:val="00774AA4"/>
    <w:rsid w:val="00776161"/>
    <w:rsid w:val="00777628"/>
    <w:rsid w:val="00777BBB"/>
    <w:rsid w:val="0078124E"/>
    <w:rsid w:val="00783BA2"/>
    <w:rsid w:val="0078790B"/>
    <w:rsid w:val="00790804"/>
    <w:rsid w:val="00794D10"/>
    <w:rsid w:val="007973F9"/>
    <w:rsid w:val="007979C1"/>
    <w:rsid w:val="007A03C1"/>
    <w:rsid w:val="007A2E33"/>
    <w:rsid w:val="007A36F3"/>
    <w:rsid w:val="007A377B"/>
    <w:rsid w:val="007A40C7"/>
    <w:rsid w:val="007A4470"/>
    <w:rsid w:val="007A5138"/>
    <w:rsid w:val="007A5178"/>
    <w:rsid w:val="007A560C"/>
    <w:rsid w:val="007A5764"/>
    <w:rsid w:val="007B09BE"/>
    <w:rsid w:val="007B19DD"/>
    <w:rsid w:val="007B3845"/>
    <w:rsid w:val="007B3B5E"/>
    <w:rsid w:val="007B50D2"/>
    <w:rsid w:val="007B52F7"/>
    <w:rsid w:val="007C1BBD"/>
    <w:rsid w:val="007C5EDF"/>
    <w:rsid w:val="007C768A"/>
    <w:rsid w:val="007D1114"/>
    <w:rsid w:val="007D13B4"/>
    <w:rsid w:val="007D2681"/>
    <w:rsid w:val="007D2DC4"/>
    <w:rsid w:val="007D32AD"/>
    <w:rsid w:val="007D436E"/>
    <w:rsid w:val="007D5345"/>
    <w:rsid w:val="007D6F4B"/>
    <w:rsid w:val="007D7AC4"/>
    <w:rsid w:val="007D7D84"/>
    <w:rsid w:val="007E55FD"/>
    <w:rsid w:val="007E5F88"/>
    <w:rsid w:val="007E6C4F"/>
    <w:rsid w:val="007E7DE2"/>
    <w:rsid w:val="007F0A1D"/>
    <w:rsid w:val="007F0AAE"/>
    <w:rsid w:val="007F4243"/>
    <w:rsid w:val="007F435E"/>
    <w:rsid w:val="007F61D7"/>
    <w:rsid w:val="00803129"/>
    <w:rsid w:val="00803DD5"/>
    <w:rsid w:val="0080452E"/>
    <w:rsid w:val="00804764"/>
    <w:rsid w:val="00806804"/>
    <w:rsid w:val="00810514"/>
    <w:rsid w:val="008120B5"/>
    <w:rsid w:val="008136A6"/>
    <w:rsid w:val="00814699"/>
    <w:rsid w:val="0081499F"/>
    <w:rsid w:val="00821624"/>
    <w:rsid w:val="00822C66"/>
    <w:rsid w:val="00822E49"/>
    <w:rsid w:val="008231FD"/>
    <w:rsid w:val="00824352"/>
    <w:rsid w:val="00824A0E"/>
    <w:rsid w:val="00825D5F"/>
    <w:rsid w:val="008271EE"/>
    <w:rsid w:val="008304A1"/>
    <w:rsid w:val="008366F9"/>
    <w:rsid w:val="00837B1F"/>
    <w:rsid w:val="00842F73"/>
    <w:rsid w:val="00843068"/>
    <w:rsid w:val="00844512"/>
    <w:rsid w:val="00845146"/>
    <w:rsid w:val="00845233"/>
    <w:rsid w:val="008466F7"/>
    <w:rsid w:val="0084708C"/>
    <w:rsid w:val="0084764F"/>
    <w:rsid w:val="008479CE"/>
    <w:rsid w:val="008510A0"/>
    <w:rsid w:val="0085240C"/>
    <w:rsid w:val="008524A3"/>
    <w:rsid w:val="00852843"/>
    <w:rsid w:val="0085429C"/>
    <w:rsid w:val="0085477B"/>
    <w:rsid w:val="00854E59"/>
    <w:rsid w:val="008555D9"/>
    <w:rsid w:val="008556B3"/>
    <w:rsid w:val="0085643D"/>
    <w:rsid w:val="008605DE"/>
    <w:rsid w:val="0086072A"/>
    <w:rsid w:val="00860A64"/>
    <w:rsid w:val="0086113E"/>
    <w:rsid w:val="00861427"/>
    <w:rsid w:val="00864ADF"/>
    <w:rsid w:val="00865BDC"/>
    <w:rsid w:val="00865C85"/>
    <w:rsid w:val="008667DA"/>
    <w:rsid w:val="00866939"/>
    <w:rsid w:val="008676EE"/>
    <w:rsid w:val="0087194C"/>
    <w:rsid w:val="00873934"/>
    <w:rsid w:val="008745FE"/>
    <w:rsid w:val="00877780"/>
    <w:rsid w:val="00880570"/>
    <w:rsid w:val="00880E82"/>
    <w:rsid w:val="00882EC0"/>
    <w:rsid w:val="008830FB"/>
    <w:rsid w:val="00883AE7"/>
    <w:rsid w:val="00884941"/>
    <w:rsid w:val="008856B8"/>
    <w:rsid w:val="00885725"/>
    <w:rsid w:val="00892032"/>
    <w:rsid w:val="008933F0"/>
    <w:rsid w:val="00893D1D"/>
    <w:rsid w:val="00893D7C"/>
    <w:rsid w:val="00894D36"/>
    <w:rsid w:val="008A1819"/>
    <w:rsid w:val="008A24D4"/>
    <w:rsid w:val="008A4DEB"/>
    <w:rsid w:val="008A568D"/>
    <w:rsid w:val="008A5ADC"/>
    <w:rsid w:val="008A6785"/>
    <w:rsid w:val="008A79AB"/>
    <w:rsid w:val="008A7ADC"/>
    <w:rsid w:val="008B23FA"/>
    <w:rsid w:val="008B3965"/>
    <w:rsid w:val="008B468C"/>
    <w:rsid w:val="008B61D0"/>
    <w:rsid w:val="008B7862"/>
    <w:rsid w:val="008B7B80"/>
    <w:rsid w:val="008C06DD"/>
    <w:rsid w:val="008C1350"/>
    <w:rsid w:val="008C1C22"/>
    <w:rsid w:val="008C2BAD"/>
    <w:rsid w:val="008C2E4C"/>
    <w:rsid w:val="008C388E"/>
    <w:rsid w:val="008C3E91"/>
    <w:rsid w:val="008C41D1"/>
    <w:rsid w:val="008C42BB"/>
    <w:rsid w:val="008C513C"/>
    <w:rsid w:val="008C7698"/>
    <w:rsid w:val="008D23CE"/>
    <w:rsid w:val="008D2D02"/>
    <w:rsid w:val="008D45A0"/>
    <w:rsid w:val="008D6646"/>
    <w:rsid w:val="008E07FC"/>
    <w:rsid w:val="008E4510"/>
    <w:rsid w:val="008E685A"/>
    <w:rsid w:val="008E690E"/>
    <w:rsid w:val="008F24BF"/>
    <w:rsid w:val="008F2741"/>
    <w:rsid w:val="008F5C4C"/>
    <w:rsid w:val="008F5D70"/>
    <w:rsid w:val="008F6D05"/>
    <w:rsid w:val="009000E0"/>
    <w:rsid w:val="0090089D"/>
    <w:rsid w:val="00903B0A"/>
    <w:rsid w:val="009040CF"/>
    <w:rsid w:val="00904462"/>
    <w:rsid w:val="00907547"/>
    <w:rsid w:val="00910B62"/>
    <w:rsid w:val="00915816"/>
    <w:rsid w:val="009164D9"/>
    <w:rsid w:val="009178A3"/>
    <w:rsid w:val="00921845"/>
    <w:rsid w:val="00921964"/>
    <w:rsid w:val="00921D99"/>
    <w:rsid w:val="00926C8A"/>
    <w:rsid w:val="00926FCD"/>
    <w:rsid w:val="009312F0"/>
    <w:rsid w:val="00931DEB"/>
    <w:rsid w:val="00932E79"/>
    <w:rsid w:val="00935A4A"/>
    <w:rsid w:val="00936DC7"/>
    <w:rsid w:val="00936FF1"/>
    <w:rsid w:val="00937F32"/>
    <w:rsid w:val="00942E4B"/>
    <w:rsid w:val="00943606"/>
    <w:rsid w:val="00944485"/>
    <w:rsid w:val="00946055"/>
    <w:rsid w:val="00946AA1"/>
    <w:rsid w:val="009500AD"/>
    <w:rsid w:val="00950FD3"/>
    <w:rsid w:val="00952BDF"/>
    <w:rsid w:val="00954055"/>
    <w:rsid w:val="009552DB"/>
    <w:rsid w:val="0095621C"/>
    <w:rsid w:val="009607B1"/>
    <w:rsid w:val="00962167"/>
    <w:rsid w:val="00963978"/>
    <w:rsid w:val="00963D82"/>
    <w:rsid w:val="00964334"/>
    <w:rsid w:val="0096696D"/>
    <w:rsid w:val="00967DF5"/>
    <w:rsid w:val="00971FBD"/>
    <w:rsid w:val="009726D7"/>
    <w:rsid w:val="00975BB9"/>
    <w:rsid w:val="00976CDA"/>
    <w:rsid w:val="009772A1"/>
    <w:rsid w:val="00981072"/>
    <w:rsid w:val="00981AC1"/>
    <w:rsid w:val="00981C47"/>
    <w:rsid w:val="009831E5"/>
    <w:rsid w:val="009847E9"/>
    <w:rsid w:val="009874F5"/>
    <w:rsid w:val="00987679"/>
    <w:rsid w:val="009878FF"/>
    <w:rsid w:val="00987C7E"/>
    <w:rsid w:val="00990878"/>
    <w:rsid w:val="00992720"/>
    <w:rsid w:val="00997F24"/>
    <w:rsid w:val="009A2A6D"/>
    <w:rsid w:val="009A317A"/>
    <w:rsid w:val="009A3F44"/>
    <w:rsid w:val="009A4683"/>
    <w:rsid w:val="009A648D"/>
    <w:rsid w:val="009A649E"/>
    <w:rsid w:val="009A674B"/>
    <w:rsid w:val="009A699D"/>
    <w:rsid w:val="009B207E"/>
    <w:rsid w:val="009B57D7"/>
    <w:rsid w:val="009B6E7A"/>
    <w:rsid w:val="009C104B"/>
    <w:rsid w:val="009C1AEC"/>
    <w:rsid w:val="009C42F6"/>
    <w:rsid w:val="009C4FC3"/>
    <w:rsid w:val="009C6828"/>
    <w:rsid w:val="009C69E2"/>
    <w:rsid w:val="009D115E"/>
    <w:rsid w:val="009E1BDA"/>
    <w:rsid w:val="009E2C7E"/>
    <w:rsid w:val="009E3CCE"/>
    <w:rsid w:val="009E411A"/>
    <w:rsid w:val="009E4D49"/>
    <w:rsid w:val="009E67C9"/>
    <w:rsid w:val="009F06B6"/>
    <w:rsid w:val="009F67C8"/>
    <w:rsid w:val="00A01CA4"/>
    <w:rsid w:val="00A03273"/>
    <w:rsid w:val="00A04021"/>
    <w:rsid w:val="00A04A0F"/>
    <w:rsid w:val="00A05E1A"/>
    <w:rsid w:val="00A065FC"/>
    <w:rsid w:val="00A06881"/>
    <w:rsid w:val="00A0716C"/>
    <w:rsid w:val="00A1793C"/>
    <w:rsid w:val="00A20B22"/>
    <w:rsid w:val="00A21594"/>
    <w:rsid w:val="00A22B71"/>
    <w:rsid w:val="00A25470"/>
    <w:rsid w:val="00A26067"/>
    <w:rsid w:val="00A261DA"/>
    <w:rsid w:val="00A27CF1"/>
    <w:rsid w:val="00A27F8E"/>
    <w:rsid w:val="00A32AAD"/>
    <w:rsid w:val="00A34044"/>
    <w:rsid w:val="00A343EB"/>
    <w:rsid w:val="00A3536B"/>
    <w:rsid w:val="00A36935"/>
    <w:rsid w:val="00A36A13"/>
    <w:rsid w:val="00A4408F"/>
    <w:rsid w:val="00A472C3"/>
    <w:rsid w:val="00A509D7"/>
    <w:rsid w:val="00A526FB"/>
    <w:rsid w:val="00A53D0C"/>
    <w:rsid w:val="00A541A5"/>
    <w:rsid w:val="00A54DB0"/>
    <w:rsid w:val="00A571B5"/>
    <w:rsid w:val="00A604BE"/>
    <w:rsid w:val="00A637ED"/>
    <w:rsid w:val="00A64203"/>
    <w:rsid w:val="00A66A13"/>
    <w:rsid w:val="00A6710B"/>
    <w:rsid w:val="00A6718B"/>
    <w:rsid w:val="00A672E8"/>
    <w:rsid w:val="00A67BD8"/>
    <w:rsid w:val="00A702DF"/>
    <w:rsid w:val="00A71329"/>
    <w:rsid w:val="00A713C8"/>
    <w:rsid w:val="00A71A86"/>
    <w:rsid w:val="00A723BF"/>
    <w:rsid w:val="00A725C6"/>
    <w:rsid w:val="00A729B1"/>
    <w:rsid w:val="00A7483D"/>
    <w:rsid w:val="00A766AF"/>
    <w:rsid w:val="00A76D78"/>
    <w:rsid w:val="00A76DBA"/>
    <w:rsid w:val="00A8090B"/>
    <w:rsid w:val="00A81317"/>
    <w:rsid w:val="00A81966"/>
    <w:rsid w:val="00A8271B"/>
    <w:rsid w:val="00A84248"/>
    <w:rsid w:val="00A846F5"/>
    <w:rsid w:val="00A854F5"/>
    <w:rsid w:val="00A863F8"/>
    <w:rsid w:val="00A87F3E"/>
    <w:rsid w:val="00A93AFF"/>
    <w:rsid w:val="00A94012"/>
    <w:rsid w:val="00A941D4"/>
    <w:rsid w:val="00A95D6E"/>
    <w:rsid w:val="00A96222"/>
    <w:rsid w:val="00A9648F"/>
    <w:rsid w:val="00A970E9"/>
    <w:rsid w:val="00AA241E"/>
    <w:rsid w:val="00AA3969"/>
    <w:rsid w:val="00AA427D"/>
    <w:rsid w:val="00AA7EAF"/>
    <w:rsid w:val="00AB17FC"/>
    <w:rsid w:val="00AB1ED2"/>
    <w:rsid w:val="00AB2242"/>
    <w:rsid w:val="00AB38D3"/>
    <w:rsid w:val="00AB5197"/>
    <w:rsid w:val="00AB6778"/>
    <w:rsid w:val="00AB76D0"/>
    <w:rsid w:val="00AC047C"/>
    <w:rsid w:val="00AC15E8"/>
    <w:rsid w:val="00AC1B22"/>
    <w:rsid w:val="00AC4277"/>
    <w:rsid w:val="00AC4635"/>
    <w:rsid w:val="00AC507D"/>
    <w:rsid w:val="00AC5851"/>
    <w:rsid w:val="00AC7DE4"/>
    <w:rsid w:val="00AD0461"/>
    <w:rsid w:val="00AD0838"/>
    <w:rsid w:val="00AD1701"/>
    <w:rsid w:val="00AD17C5"/>
    <w:rsid w:val="00AD3186"/>
    <w:rsid w:val="00AD3C39"/>
    <w:rsid w:val="00AD496A"/>
    <w:rsid w:val="00AD5B45"/>
    <w:rsid w:val="00AE2B60"/>
    <w:rsid w:val="00AE2FE7"/>
    <w:rsid w:val="00AE53AB"/>
    <w:rsid w:val="00AE627A"/>
    <w:rsid w:val="00AE72C6"/>
    <w:rsid w:val="00AF3E59"/>
    <w:rsid w:val="00AF4A23"/>
    <w:rsid w:val="00AF685E"/>
    <w:rsid w:val="00AF7B76"/>
    <w:rsid w:val="00B01794"/>
    <w:rsid w:val="00B07957"/>
    <w:rsid w:val="00B10150"/>
    <w:rsid w:val="00B103E5"/>
    <w:rsid w:val="00B1175E"/>
    <w:rsid w:val="00B15FAF"/>
    <w:rsid w:val="00B170B8"/>
    <w:rsid w:val="00B172D8"/>
    <w:rsid w:val="00B216A9"/>
    <w:rsid w:val="00B22025"/>
    <w:rsid w:val="00B23E2C"/>
    <w:rsid w:val="00B23F32"/>
    <w:rsid w:val="00B24126"/>
    <w:rsid w:val="00B30B0F"/>
    <w:rsid w:val="00B30FDA"/>
    <w:rsid w:val="00B3232B"/>
    <w:rsid w:val="00B32C6D"/>
    <w:rsid w:val="00B35BCA"/>
    <w:rsid w:val="00B366ED"/>
    <w:rsid w:val="00B37AE0"/>
    <w:rsid w:val="00B41388"/>
    <w:rsid w:val="00B45018"/>
    <w:rsid w:val="00B46AA8"/>
    <w:rsid w:val="00B5021B"/>
    <w:rsid w:val="00B57434"/>
    <w:rsid w:val="00B60EBD"/>
    <w:rsid w:val="00B612EB"/>
    <w:rsid w:val="00B6167A"/>
    <w:rsid w:val="00B623C8"/>
    <w:rsid w:val="00B66C61"/>
    <w:rsid w:val="00B67360"/>
    <w:rsid w:val="00B70236"/>
    <w:rsid w:val="00B71212"/>
    <w:rsid w:val="00B733FE"/>
    <w:rsid w:val="00B73A90"/>
    <w:rsid w:val="00B752D1"/>
    <w:rsid w:val="00B7536E"/>
    <w:rsid w:val="00B77452"/>
    <w:rsid w:val="00B80054"/>
    <w:rsid w:val="00B80DEE"/>
    <w:rsid w:val="00B832A7"/>
    <w:rsid w:val="00B85428"/>
    <w:rsid w:val="00B91655"/>
    <w:rsid w:val="00B928BE"/>
    <w:rsid w:val="00B94A03"/>
    <w:rsid w:val="00B950AA"/>
    <w:rsid w:val="00B95735"/>
    <w:rsid w:val="00B964F6"/>
    <w:rsid w:val="00B96C6D"/>
    <w:rsid w:val="00BA0FE5"/>
    <w:rsid w:val="00BA278E"/>
    <w:rsid w:val="00BA4C70"/>
    <w:rsid w:val="00BA7221"/>
    <w:rsid w:val="00BA79CC"/>
    <w:rsid w:val="00BA7CB1"/>
    <w:rsid w:val="00BB0912"/>
    <w:rsid w:val="00BB0DA7"/>
    <w:rsid w:val="00BB3F44"/>
    <w:rsid w:val="00BB6F0D"/>
    <w:rsid w:val="00BC0733"/>
    <w:rsid w:val="00BC1969"/>
    <w:rsid w:val="00BC199C"/>
    <w:rsid w:val="00BC1A81"/>
    <w:rsid w:val="00BC2CA9"/>
    <w:rsid w:val="00BC3A3F"/>
    <w:rsid w:val="00BC61DC"/>
    <w:rsid w:val="00BC757B"/>
    <w:rsid w:val="00BC7AC5"/>
    <w:rsid w:val="00BD0C40"/>
    <w:rsid w:val="00BD26D8"/>
    <w:rsid w:val="00BD5977"/>
    <w:rsid w:val="00BD5EFF"/>
    <w:rsid w:val="00BD76EA"/>
    <w:rsid w:val="00BE10A2"/>
    <w:rsid w:val="00BE115E"/>
    <w:rsid w:val="00BE2262"/>
    <w:rsid w:val="00BE29AD"/>
    <w:rsid w:val="00BE3863"/>
    <w:rsid w:val="00BE3894"/>
    <w:rsid w:val="00BE488F"/>
    <w:rsid w:val="00BE492E"/>
    <w:rsid w:val="00BE7152"/>
    <w:rsid w:val="00BE7203"/>
    <w:rsid w:val="00BF700A"/>
    <w:rsid w:val="00C0074E"/>
    <w:rsid w:val="00C02357"/>
    <w:rsid w:val="00C0382D"/>
    <w:rsid w:val="00C03FF6"/>
    <w:rsid w:val="00C041C6"/>
    <w:rsid w:val="00C0637C"/>
    <w:rsid w:val="00C102A8"/>
    <w:rsid w:val="00C10ECA"/>
    <w:rsid w:val="00C15997"/>
    <w:rsid w:val="00C161F9"/>
    <w:rsid w:val="00C164CB"/>
    <w:rsid w:val="00C17812"/>
    <w:rsid w:val="00C17E58"/>
    <w:rsid w:val="00C20C4D"/>
    <w:rsid w:val="00C21559"/>
    <w:rsid w:val="00C236BE"/>
    <w:rsid w:val="00C249B8"/>
    <w:rsid w:val="00C2511F"/>
    <w:rsid w:val="00C266DC"/>
    <w:rsid w:val="00C309D0"/>
    <w:rsid w:val="00C317BE"/>
    <w:rsid w:val="00C321B3"/>
    <w:rsid w:val="00C32542"/>
    <w:rsid w:val="00C32E2B"/>
    <w:rsid w:val="00C33A8D"/>
    <w:rsid w:val="00C33D43"/>
    <w:rsid w:val="00C33F5F"/>
    <w:rsid w:val="00C33F7C"/>
    <w:rsid w:val="00C33FA8"/>
    <w:rsid w:val="00C3413C"/>
    <w:rsid w:val="00C345E8"/>
    <w:rsid w:val="00C40B7E"/>
    <w:rsid w:val="00C431DE"/>
    <w:rsid w:val="00C43693"/>
    <w:rsid w:val="00C439E3"/>
    <w:rsid w:val="00C44A53"/>
    <w:rsid w:val="00C45028"/>
    <w:rsid w:val="00C4593C"/>
    <w:rsid w:val="00C469E6"/>
    <w:rsid w:val="00C505ED"/>
    <w:rsid w:val="00C51F53"/>
    <w:rsid w:val="00C52B5A"/>
    <w:rsid w:val="00C56888"/>
    <w:rsid w:val="00C62E46"/>
    <w:rsid w:val="00C63532"/>
    <w:rsid w:val="00C645AE"/>
    <w:rsid w:val="00C64D91"/>
    <w:rsid w:val="00C65371"/>
    <w:rsid w:val="00C703AC"/>
    <w:rsid w:val="00C71007"/>
    <w:rsid w:val="00C733C1"/>
    <w:rsid w:val="00C75CC4"/>
    <w:rsid w:val="00C80B45"/>
    <w:rsid w:val="00C8139C"/>
    <w:rsid w:val="00C852CF"/>
    <w:rsid w:val="00C85DA9"/>
    <w:rsid w:val="00C87DE6"/>
    <w:rsid w:val="00C900CD"/>
    <w:rsid w:val="00C9094D"/>
    <w:rsid w:val="00C909A9"/>
    <w:rsid w:val="00C93E58"/>
    <w:rsid w:val="00C94389"/>
    <w:rsid w:val="00C9665F"/>
    <w:rsid w:val="00CA0E5A"/>
    <w:rsid w:val="00CA3A81"/>
    <w:rsid w:val="00CA473A"/>
    <w:rsid w:val="00CA4A61"/>
    <w:rsid w:val="00CA5307"/>
    <w:rsid w:val="00CA6514"/>
    <w:rsid w:val="00CB04CC"/>
    <w:rsid w:val="00CB0C07"/>
    <w:rsid w:val="00CB1743"/>
    <w:rsid w:val="00CB1EF7"/>
    <w:rsid w:val="00CB4E33"/>
    <w:rsid w:val="00CB73AC"/>
    <w:rsid w:val="00CC1628"/>
    <w:rsid w:val="00CC33BA"/>
    <w:rsid w:val="00CC3859"/>
    <w:rsid w:val="00CC3D15"/>
    <w:rsid w:val="00CC3F10"/>
    <w:rsid w:val="00CC408B"/>
    <w:rsid w:val="00CC4177"/>
    <w:rsid w:val="00CC457B"/>
    <w:rsid w:val="00CC57B1"/>
    <w:rsid w:val="00CC6B09"/>
    <w:rsid w:val="00CC757D"/>
    <w:rsid w:val="00CD1824"/>
    <w:rsid w:val="00CD76C0"/>
    <w:rsid w:val="00CD7E87"/>
    <w:rsid w:val="00CE1DE3"/>
    <w:rsid w:val="00CE50F4"/>
    <w:rsid w:val="00CE527F"/>
    <w:rsid w:val="00CF0857"/>
    <w:rsid w:val="00CF0D62"/>
    <w:rsid w:val="00CF126C"/>
    <w:rsid w:val="00CF203A"/>
    <w:rsid w:val="00CF40E8"/>
    <w:rsid w:val="00CF5ECA"/>
    <w:rsid w:val="00D02662"/>
    <w:rsid w:val="00D032B3"/>
    <w:rsid w:val="00D03EA1"/>
    <w:rsid w:val="00D05455"/>
    <w:rsid w:val="00D074F6"/>
    <w:rsid w:val="00D1058E"/>
    <w:rsid w:val="00D10FB6"/>
    <w:rsid w:val="00D11E9C"/>
    <w:rsid w:val="00D12A24"/>
    <w:rsid w:val="00D16C71"/>
    <w:rsid w:val="00D22443"/>
    <w:rsid w:val="00D2523F"/>
    <w:rsid w:val="00D32795"/>
    <w:rsid w:val="00D3464D"/>
    <w:rsid w:val="00D35565"/>
    <w:rsid w:val="00D3603E"/>
    <w:rsid w:val="00D361A8"/>
    <w:rsid w:val="00D36973"/>
    <w:rsid w:val="00D375E7"/>
    <w:rsid w:val="00D403D5"/>
    <w:rsid w:val="00D41B3C"/>
    <w:rsid w:val="00D42008"/>
    <w:rsid w:val="00D42BDA"/>
    <w:rsid w:val="00D42EB1"/>
    <w:rsid w:val="00D44711"/>
    <w:rsid w:val="00D5086B"/>
    <w:rsid w:val="00D528AA"/>
    <w:rsid w:val="00D52C66"/>
    <w:rsid w:val="00D55FAE"/>
    <w:rsid w:val="00D563E5"/>
    <w:rsid w:val="00D6020C"/>
    <w:rsid w:val="00D61573"/>
    <w:rsid w:val="00D62216"/>
    <w:rsid w:val="00D63359"/>
    <w:rsid w:val="00D645A5"/>
    <w:rsid w:val="00D657D5"/>
    <w:rsid w:val="00D65F5B"/>
    <w:rsid w:val="00D65F6A"/>
    <w:rsid w:val="00D6636E"/>
    <w:rsid w:val="00D667F9"/>
    <w:rsid w:val="00D670EC"/>
    <w:rsid w:val="00D7470A"/>
    <w:rsid w:val="00D7536F"/>
    <w:rsid w:val="00D762CE"/>
    <w:rsid w:val="00D76570"/>
    <w:rsid w:val="00D76813"/>
    <w:rsid w:val="00D77E77"/>
    <w:rsid w:val="00D80769"/>
    <w:rsid w:val="00D80DB6"/>
    <w:rsid w:val="00D80F0B"/>
    <w:rsid w:val="00D87F04"/>
    <w:rsid w:val="00D93584"/>
    <w:rsid w:val="00D951C3"/>
    <w:rsid w:val="00DA117C"/>
    <w:rsid w:val="00DA2C08"/>
    <w:rsid w:val="00DA6884"/>
    <w:rsid w:val="00DA78C1"/>
    <w:rsid w:val="00DB260A"/>
    <w:rsid w:val="00DB4BE8"/>
    <w:rsid w:val="00DC066D"/>
    <w:rsid w:val="00DC09F7"/>
    <w:rsid w:val="00DC2FF2"/>
    <w:rsid w:val="00DC38AB"/>
    <w:rsid w:val="00DC5B0A"/>
    <w:rsid w:val="00DC630E"/>
    <w:rsid w:val="00DD092A"/>
    <w:rsid w:val="00DD1024"/>
    <w:rsid w:val="00DD25C9"/>
    <w:rsid w:val="00DD2A13"/>
    <w:rsid w:val="00DD643A"/>
    <w:rsid w:val="00DE12D1"/>
    <w:rsid w:val="00DE6E97"/>
    <w:rsid w:val="00DF2724"/>
    <w:rsid w:val="00DF3B0C"/>
    <w:rsid w:val="00DF4E97"/>
    <w:rsid w:val="00DF5FD5"/>
    <w:rsid w:val="00DF68B0"/>
    <w:rsid w:val="00E0600B"/>
    <w:rsid w:val="00E10FEA"/>
    <w:rsid w:val="00E119F4"/>
    <w:rsid w:val="00E133A6"/>
    <w:rsid w:val="00E144EE"/>
    <w:rsid w:val="00E1456D"/>
    <w:rsid w:val="00E174A0"/>
    <w:rsid w:val="00E25B23"/>
    <w:rsid w:val="00E26168"/>
    <w:rsid w:val="00E26C0B"/>
    <w:rsid w:val="00E304F8"/>
    <w:rsid w:val="00E31A20"/>
    <w:rsid w:val="00E35287"/>
    <w:rsid w:val="00E35496"/>
    <w:rsid w:val="00E3598B"/>
    <w:rsid w:val="00E36427"/>
    <w:rsid w:val="00E3697E"/>
    <w:rsid w:val="00E36AC2"/>
    <w:rsid w:val="00E422F2"/>
    <w:rsid w:val="00E45677"/>
    <w:rsid w:val="00E4698A"/>
    <w:rsid w:val="00E46AA9"/>
    <w:rsid w:val="00E46E3C"/>
    <w:rsid w:val="00E5124B"/>
    <w:rsid w:val="00E51317"/>
    <w:rsid w:val="00E531A4"/>
    <w:rsid w:val="00E533DF"/>
    <w:rsid w:val="00E551F3"/>
    <w:rsid w:val="00E56C72"/>
    <w:rsid w:val="00E60B67"/>
    <w:rsid w:val="00E616B9"/>
    <w:rsid w:val="00E61E2F"/>
    <w:rsid w:val="00E62BC7"/>
    <w:rsid w:val="00E63111"/>
    <w:rsid w:val="00E65DEE"/>
    <w:rsid w:val="00E70AA3"/>
    <w:rsid w:val="00E70F4F"/>
    <w:rsid w:val="00E7116E"/>
    <w:rsid w:val="00E759F9"/>
    <w:rsid w:val="00E804BD"/>
    <w:rsid w:val="00E8053F"/>
    <w:rsid w:val="00E8238E"/>
    <w:rsid w:val="00E82727"/>
    <w:rsid w:val="00E83413"/>
    <w:rsid w:val="00E8368D"/>
    <w:rsid w:val="00E840C5"/>
    <w:rsid w:val="00E86E14"/>
    <w:rsid w:val="00E90370"/>
    <w:rsid w:val="00E90F8F"/>
    <w:rsid w:val="00E93617"/>
    <w:rsid w:val="00E93DA5"/>
    <w:rsid w:val="00E94B1B"/>
    <w:rsid w:val="00E952FF"/>
    <w:rsid w:val="00E954FB"/>
    <w:rsid w:val="00EA118E"/>
    <w:rsid w:val="00EA27A5"/>
    <w:rsid w:val="00EB0942"/>
    <w:rsid w:val="00EB0EC8"/>
    <w:rsid w:val="00EB1AA1"/>
    <w:rsid w:val="00EB238D"/>
    <w:rsid w:val="00EB3307"/>
    <w:rsid w:val="00EB4D69"/>
    <w:rsid w:val="00EB5609"/>
    <w:rsid w:val="00EB6AE5"/>
    <w:rsid w:val="00EC2038"/>
    <w:rsid w:val="00EC22EC"/>
    <w:rsid w:val="00EC40D2"/>
    <w:rsid w:val="00EC53C5"/>
    <w:rsid w:val="00EC6873"/>
    <w:rsid w:val="00ED192A"/>
    <w:rsid w:val="00ED234D"/>
    <w:rsid w:val="00ED3E75"/>
    <w:rsid w:val="00ED5CD1"/>
    <w:rsid w:val="00ED7A37"/>
    <w:rsid w:val="00ED7DD3"/>
    <w:rsid w:val="00EE09D5"/>
    <w:rsid w:val="00EE0CC6"/>
    <w:rsid w:val="00EE4B67"/>
    <w:rsid w:val="00EE544A"/>
    <w:rsid w:val="00EF3130"/>
    <w:rsid w:val="00EF357F"/>
    <w:rsid w:val="00EF50EB"/>
    <w:rsid w:val="00EF6482"/>
    <w:rsid w:val="00EF755D"/>
    <w:rsid w:val="00F0067C"/>
    <w:rsid w:val="00F012ED"/>
    <w:rsid w:val="00F01421"/>
    <w:rsid w:val="00F01AAE"/>
    <w:rsid w:val="00F03378"/>
    <w:rsid w:val="00F03756"/>
    <w:rsid w:val="00F053E7"/>
    <w:rsid w:val="00F126DB"/>
    <w:rsid w:val="00F12A6E"/>
    <w:rsid w:val="00F13DF9"/>
    <w:rsid w:val="00F173D1"/>
    <w:rsid w:val="00F17AA6"/>
    <w:rsid w:val="00F17D7F"/>
    <w:rsid w:val="00F20795"/>
    <w:rsid w:val="00F20C0D"/>
    <w:rsid w:val="00F25501"/>
    <w:rsid w:val="00F26561"/>
    <w:rsid w:val="00F2726C"/>
    <w:rsid w:val="00F272A3"/>
    <w:rsid w:val="00F32703"/>
    <w:rsid w:val="00F34953"/>
    <w:rsid w:val="00F34C44"/>
    <w:rsid w:val="00F37281"/>
    <w:rsid w:val="00F4424B"/>
    <w:rsid w:val="00F4639A"/>
    <w:rsid w:val="00F47168"/>
    <w:rsid w:val="00F504DD"/>
    <w:rsid w:val="00F517FD"/>
    <w:rsid w:val="00F52C9A"/>
    <w:rsid w:val="00F53C2F"/>
    <w:rsid w:val="00F559D1"/>
    <w:rsid w:val="00F5682E"/>
    <w:rsid w:val="00F56A12"/>
    <w:rsid w:val="00F57B86"/>
    <w:rsid w:val="00F60171"/>
    <w:rsid w:val="00F611C2"/>
    <w:rsid w:val="00F62115"/>
    <w:rsid w:val="00F62A6F"/>
    <w:rsid w:val="00F6309F"/>
    <w:rsid w:val="00F73201"/>
    <w:rsid w:val="00F751E8"/>
    <w:rsid w:val="00F7532B"/>
    <w:rsid w:val="00F77B0F"/>
    <w:rsid w:val="00F805A2"/>
    <w:rsid w:val="00F805CB"/>
    <w:rsid w:val="00F80C0E"/>
    <w:rsid w:val="00F8362F"/>
    <w:rsid w:val="00F85D71"/>
    <w:rsid w:val="00F91E14"/>
    <w:rsid w:val="00F92F3A"/>
    <w:rsid w:val="00F932E8"/>
    <w:rsid w:val="00F940E5"/>
    <w:rsid w:val="00F950C2"/>
    <w:rsid w:val="00F97F46"/>
    <w:rsid w:val="00FA0C74"/>
    <w:rsid w:val="00FA1617"/>
    <w:rsid w:val="00FA535D"/>
    <w:rsid w:val="00FA603E"/>
    <w:rsid w:val="00FB0B3A"/>
    <w:rsid w:val="00FB13E4"/>
    <w:rsid w:val="00FB216A"/>
    <w:rsid w:val="00FB2CCE"/>
    <w:rsid w:val="00FB3151"/>
    <w:rsid w:val="00FB3A18"/>
    <w:rsid w:val="00FB5804"/>
    <w:rsid w:val="00FB5D1C"/>
    <w:rsid w:val="00FC0896"/>
    <w:rsid w:val="00FC385C"/>
    <w:rsid w:val="00FC5727"/>
    <w:rsid w:val="00FD6AB4"/>
    <w:rsid w:val="00FD71E4"/>
    <w:rsid w:val="00FE0E64"/>
    <w:rsid w:val="00FE4B0A"/>
    <w:rsid w:val="00FF1535"/>
    <w:rsid w:val="00FF3B84"/>
    <w:rsid w:val="00FF48EB"/>
    <w:rsid w:val="00FF52A0"/>
    <w:rsid w:val="00FF57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FB61D"/>
  <w15:docId w15:val="{4FB3910B-48E8-4EB7-AE70-C2B91D8A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yle1"/>
    <w:next w:val="Normal"/>
    <w:link w:val="Titre1Car"/>
    <w:uiPriority w:val="9"/>
    <w:qFormat/>
    <w:rsid w:val="00053756"/>
    <w:pPr>
      <w:outlineLvl w:val="0"/>
    </w:pPr>
  </w:style>
  <w:style w:type="paragraph" w:styleId="Titre2">
    <w:name w:val="heading 2"/>
    <w:basedOn w:val="Paragraphedeliste"/>
    <w:next w:val="Normal"/>
    <w:link w:val="Titre2Car"/>
    <w:uiPriority w:val="9"/>
    <w:unhideWhenUsed/>
    <w:qFormat/>
    <w:rsid w:val="00053756"/>
    <w:pPr>
      <w:numPr>
        <w:numId w:val="8"/>
      </w:numPr>
      <w:spacing w:after="120" w:line="240" w:lineRule="auto"/>
      <w:jc w:val="both"/>
      <w:outlineLvl w:val="1"/>
    </w:pPr>
    <w:rPr>
      <w:rFonts w:ascii="Calibri Light" w:hAnsi="Calibri Light" w:cs="Calibri Light"/>
      <w:b/>
      <w:bCs/>
      <w:sz w:val="28"/>
      <w:szCs w:val="28"/>
    </w:rPr>
  </w:style>
  <w:style w:type="paragraph" w:styleId="Titre3">
    <w:name w:val="heading 3"/>
    <w:basedOn w:val="Paragraphedeliste"/>
    <w:next w:val="Normal"/>
    <w:link w:val="Titre3Car"/>
    <w:uiPriority w:val="9"/>
    <w:unhideWhenUsed/>
    <w:qFormat/>
    <w:rsid w:val="00053756"/>
    <w:pPr>
      <w:numPr>
        <w:numId w:val="1"/>
      </w:numPr>
      <w:spacing w:after="120" w:line="240" w:lineRule="auto"/>
      <w:jc w:val="both"/>
      <w:outlineLvl w:val="2"/>
    </w:pPr>
    <w:rPr>
      <w:rFonts w:ascii="Calibri Light" w:hAnsi="Calibri Light" w:cs="Calibri Light"/>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0F62F6"/>
    <w:pPr>
      <w:ind w:left="720"/>
      <w:contextualSpacing/>
    </w:pPr>
  </w:style>
  <w:style w:type="paragraph" w:customStyle="1" w:styleId="Style1">
    <w:name w:val="Style1"/>
    <w:basedOn w:val="Paragraphedeliste"/>
    <w:link w:val="Style1Car"/>
    <w:qFormat/>
    <w:rsid w:val="00AF7B76"/>
    <w:pPr>
      <w:numPr>
        <w:ilvl w:val="2"/>
        <w:numId w:val="3"/>
      </w:numPr>
      <w:shd w:val="clear" w:color="auto" w:fill="DAEEF3" w:themeFill="accent5" w:themeFillTint="33"/>
      <w:tabs>
        <w:tab w:val="right" w:pos="9923"/>
      </w:tabs>
      <w:spacing w:after="120" w:line="240" w:lineRule="auto"/>
      <w:ind w:left="709" w:hanging="567"/>
      <w:jc w:val="both"/>
    </w:pPr>
    <w:rPr>
      <w:rFonts w:ascii="Calibri Light" w:hAnsi="Calibri Light" w:cs="Calibri Light"/>
      <w:b/>
      <w:bCs/>
      <w:color w:val="31849B" w:themeColor="accent5" w:themeShade="BF"/>
      <w:sz w:val="28"/>
      <w:szCs w:val="28"/>
    </w:rPr>
  </w:style>
  <w:style w:type="paragraph" w:customStyle="1" w:styleId="articleparagraph">
    <w:name w:val="article__paragraph"/>
    <w:basedOn w:val="Normal"/>
    <w:rsid w:val="00113D7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basedOn w:val="Policepardfaut"/>
    <w:link w:val="Paragraphedeliste"/>
    <w:uiPriority w:val="34"/>
    <w:rsid w:val="00E804BD"/>
  </w:style>
  <w:style w:type="character" w:customStyle="1" w:styleId="Style1Car">
    <w:name w:val="Style1 Car"/>
    <w:basedOn w:val="ParagraphedelisteCar"/>
    <w:link w:val="Style1"/>
    <w:rsid w:val="00AF7B76"/>
    <w:rPr>
      <w:rFonts w:ascii="Calibri Light" w:hAnsi="Calibri Light" w:cs="Calibri Light"/>
      <w:b/>
      <w:bCs/>
      <w:color w:val="31849B" w:themeColor="accent5" w:themeShade="BF"/>
      <w:sz w:val="28"/>
      <w:szCs w:val="28"/>
      <w:shd w:val="clear" w:color="auto" w:fill="DAEEF3" w:themeFill="accent5" w:themeFillTint="33"/>
    </w:rPr>
  </w:style>
  <w:style w:type="character" w:styleId="lev">
    <w:name w:val="Strong"/>
    <w:basedOn w:val="Policepardfaut"/>
    <w:uiPriority w:val="22"/>
    <w:qFormat/>
    <w:rsid w:val="00113D75"/>
    <w:rPr>
      <w:b/>
      <w:bCs/>
    </w:rPr>
  </w:style>
  <w:style w:type="character" w:styleId="Accentuation">
    <w:name w:val="Emphasis"/>
    <w:basedOn w:val="Policepardfaut"/>
    <w:uiPriority w:val="20"/>
    <w:qFormat/>
    <w:rsid w:val="00113D75"/>
    <w:rPr>
      <w:i/>
      <w:iCs/>
    </w:rPr>
  </w:style>
  <w:style w:type="paragraph" w:styleId="NormalWeb">
    <w:name w:val="Normal (Web)"/>
    <w:basedOn w:val="Normal"/>
    <w:uiPriority w:val="99"/>
    <w:unhideWhenUsed/>
    <w:rsid w:val="00614C16"/>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BE4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D2F2C"/>
    <w:pPr>
      <w:tabs>
        <w:tab w:val="center" w:pos="4536"/>
        <w:tab w:val="right" w:pos="9072"/>
      </w:tabs>
      <w:spacing w:after="0" w:line="240" w:lineRule="auto"/>
    </w:pPr>
  </w:style>
  <w:style w:type="character" w:customStyle="1" w:styleId="En-tteCar">
    <w:name w:val="En-tête Car"/>
    <w:basedOn w:val="Policepardfaut"/>
    <w:link w:val="En-tte"/>
    <w:uiPriority w:val="99"/>
    <w:rsid w:val="000D2F2C"/>
  </w:style>
  <w:style w:type="paragraph" w:styleId="Pieddepage">
    <w:name w:val="footer"/>
    <w:basedOn w:val="Normal"/>
    <w:link w:val="PieddepageCar"/>
    <w:uiPriority w:val="99"/>
    <w:unhideWhenUsed/>
    <w:rsid w:val="000D2F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2F2C"/>
  </w:style>
  <w:style w:type="character" w:styleId="Marquedecommentaire">
    <w:name w:val="annotation reference"/>
    <w:basedOn w:val="Policepardfaut"/>
    <w:uiPriority w:val="99"/>
    <w:semiHidden/>
    <w:unhideWhenUsed/>
    <w:rsid w:val="002655B2"/>
    <w:rPr>
      <w:sz w:val="16"/>
      <w:szCs w:val="16"/>
    </w:rPr>
  </w:style>
  <w:style w:type="paragraph" w:styleId="Commentaire">
    <w:name w:val="annotation text"/>
    <w:basedOn w:val="Normal"/>
    <w:link w:val="CommentaireCar"/>
    <w:uiPriority w:val="99"/>
    <w:unhideWhenUsed/>
    <w:rsid w:val="002655B2"/>
    <w:pPr>
      <w:spacing w:line="240" w:lineRule="auto"/>
    </w:pPr>
    <w:rPr>
      <w:sz w:val="20"/>
      <w:szCs w:val="20"/>
    </w:rPr>
  </w:style>
  <w:style w:type="character" w:customStyle="1" w:styleId="CommentaireCar">
    <w:name w:val="Commentaire Car"/>
    <w:basedOn w:val="Policepardfaut"/>
    <w:link w:val="Commentaire"/>
    <w:uiPriority w:val="99"/>
    <w:rsid w:val="002655B2"/>
    <w:rPr>
      <w:sz w:val="20"/>
      <w:szCs w:val="20"/>
    </w:rPr>
  </w:style>
  <w:style w:type="paragraph" w:styleId="Objetducommentaire">
    <w:name w:val="annotation subject"/>
    <w:basedOn w:val="Commentaire"/>
    <w:next w:val="Commentaire"/>
    <w:link w:val="ObjetducommentaireCar"/>
    <w:uiPriority w:val="99"/>
    <w:semiHidden/>
    <w:unhideWhenUsed/>
    <w:rsid w:val="002655B2"/>
    <w:rPr>
      <w:b/>
      <w:bCs/>
    </w:rPr>
  </w:style>
  <w:style w:type="character" w:customStyle="1" w:styleId="ObjetducommentaireCar">
    <w:name w:val="Objet du commentaire Car"/>
    <w:basedOn w:val="CommentaireCar"/>
    <w:link w:val="Objetducommentaire"/>
    <w:uiPriority w:val="99"/>
    <w:semiHidden/>
    <w:rsid w:val="002655B2"/>
    <w:rPr>
      <w:b/>
      <w:bCs/>
      <w:sz w:val="20"/>
      <w:szCs w:val="20"/>
    </w:rPr>
  </w:style>
  <w:style w:type="character" w:customStyle="1" w:styleId="Titre1Car">
    <w:name w:val="Titre 1 Car"/>
    <w:basedOn w:val="Policepardfaut"/>
    <w:link w:val="Titre1"/>
    <w:uiPriority w:val="9"/>
    <w:rsid w:val="00053756"/>
    <w:rPr>
      <w:rFonts w:ascii="Calibri Light" w:hAnsi="Calibri Light" w:cs="Calibri Light"/>
      <w:b/>
      <w:bCs/>
      <w:color w:val="31849B" w:themeColor="accent5" w:themeShade="BF"/>
      <w:sz w:val="28"/>
      <w:szCs w:val="28"/>
      <w:shd w:val="clear" w:color="auto" w:fill="DAEEF3" w:themeFill="accent5" w:themeFillTint="33"/>
    </w:rPr>
  </w:style>
  <w:style w:type="character" w:customStyle="1" w:styleId="Titre2Car">
    <w:name w:val="Titre 2 Car"/>
    <w:basedOn w:val="Policepardfaut"/>
    <w:link w:val="Titre2"/>
    <w:uiPriority w:val="9"/>
    <w:rsid w:val="00053756"/>
    <w:rPr>
      <w:rFonts w:ascii="Calibri Light" w:hAnsi="Calibri Light" w:cs="Calibri Light"/>
      <w:b/>
      <w:bCs/>
      <w:sz w:val="28"/>
      <w:szCs w:val="28"/>
    </w:rPr>
  </w:style>
  <w:style w:type="character" w:customStyle="1" w:styleId="Titre3Car">
    <w:name w:val="Titre 3 Car"/>
    <w:basedOn w:val="Policepardfaut"/>
    <w:link w:val="Titre3"/>
    <w:uiPriority w:val="9"/>
    <w:rsid w:val="00053756"/>
    <w:rPr>
      <w:rFonts w:ascii="Calibri Light" w:hAnsi="Calibri Light" w:cs="Calibri Light"/>
      <w:b/>
      <w:bCs/>
    </w:rPr>
  </w:style>
  <w:style w:type="paragraph" w:styleId="En-ttedetabledesmatires">
    <w:name w:val="TOC Heading"/>
    <w:basedOn w:val="Titre1"/>
    <w:next w:val="Normal"/>
    <w:uiPriority w:val="39"/>
    <w:unhideWhenUsed/>
    <w:qFormat/>
    <w:rsid w:val="002C0647"/>
    <w:pPr>
      <w:keepNext/>
      <w:keepLines/>
      <w:numPr>
        <w:ilvl w:val="0"/>
        <w:numId w:val="0"/>
      </w:numPr>
      <w:shd w:val="clear" w:color="auto" w:fill="auto"/>
      <w:tabs>
        <w:tab w:val="clear" w:pos="9923"/>
      </w:tabs>
      <w:spacing w:before="240" w:after="0" w:line="259" w:lineRule="auto"/>
      <w:contextualSpacing w:val="0"/>
      <w:jc w:val="left"/>
      <w:outlineLvl w:val="9"/>
    </w:pPr>
    <w:rPr>
      <w:rFonts w:asciiTheme="majorHAnsi" w:eastAsiaTheme="majorEastAsia" w:hAnsiTheme="majorHAnsi" w:cstheme="majorBidi"/>
      <w:b w:val="0"/>
      <w:bCs w:val="0"/>
      <w:color w:val="365F91" w:themeColor="accent1" w:themeShade="BF"/>
      <w:sz w:val="32"/>
      <w:szCs w:val="32"/>
      <w:lang w:eastAsia="fr-FR"/>
    </w:rPr>
  </w:style>
  <w:style w:type="paragraph" w:styleId="TM1">
    <w:name w:val="toc 1"/>
    <w:basedOn w:val="Normal"/>
    <w:next w:val="Normal"/>
    <w:autoRedefine/>
    <w:uiPriority w:val="39"/>
    <w:unhideWhenUsed/>
    <w:rsid w:val="00A20B22"/>
    <w:pPr>
      <w:spacing w:after="100"/>
    </w:pPr>
    <w:rPr>
      <w:b/>
      <w:sz w:val="24"/>
    </w:rPr>
  </w:style>
  <w:style w:type="paragraph" w:styleId="TM2">
    <w:name w:val="toc 2"/>
    <w:basedOn w:val="Normal"/>
    <w:next w:val="Normal"/>
    <w:autoRedefine/>
    <w:uiPriority w:val="39"/>
    <w:unhideWhenUsed/>
    <w:rsid w:val="00A20B22"/>
    <w:pPr>
      <w:spacing w:after="100"/>
      <w:ind w:left="220"/>
    </w:pPr>
    <w:rPr>
      <w:sz w:val="24"/>
    </w:rPr>
  </w:style>
  <w:style w:type="paragraph" w:styleId="TM3">
    <w:name w:val="toc 3"/>
    <w:basedOn w:val="Normal"/>
    <w:next w:val="Normal"/>
    <w:autoRedefine/>
    <w:uiPriority w:val="39"/>
    <w:unhideWhenUsed/>
    <w:rsid w:val="002C0647"/>
    <w:pPr>
      <w:spacing w:after="100"/>
      <w:ind w:left="440"/>
    </w:pPr>
  </w:style>
  <w:style w:type="character" w:styleId="Lienhypertexte">
    <w:name w:val="Hyperlink"/>
    <w:basedOn w:val="Policepardfaut"/>
    <w:uiPriority w:val="99"/>
    <w:unhideWhenUsed/>
    <w:rsid w:val="002C0647"/>
    <w:rPr>
      <w:color w:val="0000FF" w:themeColor="hyperlink"/>
      <w:u w:val="single"/>
    </w:rPr>
  </w:style>
  <w:style w:type="paragraph" w:styleId="Retraitcorpsdetexte">
    <w:name w:val="Body Text Indent"/>
    <w:basedOn w:val="Normal"/>
    <w:link w:val="RetraitcorpsdetexteCar"/>
    <w:rsid w:val="003C73F8"/>
    <w:pPr>
      <w:suppressAutoHyphens/>
      <w:spacing w:after="0" w:line="240" w:lineRule="auto"/>
      <w:jc w:val="both"/>
    </w:pPr>
    <w:rPr>
      <w:rFonts w:ascii="Century Gothic" w:eastAsia="Times New Roman" w:hAnsi="Century Gothic" w:cs="Wingdings"/>
      <w:kern w:val="1"/>
      <w:szCs w:val="20"/>
      <w:lang w:eastAsia="ar-SA"/>
    </w:rPr>
  </w:style>
  <w:style w:type="character" w:customStyle="1" w:styleId="RetraitcorpsdetexteCar">
    <w:name w:val="Retrait corps de texte Car"/>
    <w:basedOn w:val="Policepardfaut"/>
    <w:link w:val="Retraitcorpsdetexte"/>
    <w:rsid w:val="003C73F8"/>
    <w:rPr>
      <w:rFonts w:ascii="Century Gothic" w:eastAsia="Times New Roman" w:hAnsi="Century Gothic" w:cs="Wingdings"/>
      <w:kern w:val="1"/>
      <w:szCs w:val="20"/>
      <w:lang w:eastAsia="ar-SA"/>
    </w:rPr>
  </w:style>
  <w:style w:type="paragraph" w:customStyle="1" w:styleId="text-align-justify">
    <w:name w:val="text-align-justify"/>
    <w:basedOn w:val="Normal"/>
    <w:rsid w:val="00A20B2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78880">
      <w:bodyDiv w:val="1"/>
      <w:marLeft w:val="0"/>
      <w:marRight w:val="0"/>
      <w:marTop w:val="0"/>
      <w:marBottom w:val="0"/>
      <w:divBdr>
        <w:top w:val="none" w:sz="0" w:space="0" w:color="auto"/>
        <w:left w:val="none" w:sz="0" w:space="0" w:color="auto"/>
        <w:bottom w:val="none" w:sz="0" w:space="0" w:color="auto"/>
        <w:right w:val="none" w:sz="0" w:space="0" w:color="auto"/>
      </w:divBdr>
    </w:div>
    <w:div w:id="86656406">
      <w:bodyDiv w:val="1"/>
      <w:marLeft w:val="0"/>
      <w:marRight w:val="0"/>
      <w:marTop w:val="0"/>
      <w:marBottom w:val="0"/>
      <w:divBdr>
        <w:top w:val="none" w:sz="0" w:space="0" w:color="auto"/>
        <w:left w:val="none" w:sz="0" w:space="0" w:color="auto"/>
        <w:bottom w:val="none" w:sz="0" w:space="0" w:color="auto"/>
        <w:right w:val="none" w:sz="0" w:space="0" w:color="auto"/>
      </w:divBdr>
    </w:div>
    <w:div w:id="194923978">
      <w:bodyDiv w:val="1"/>
      <w:marLeft w:val="0"/>
      <w:marRight w:val="0"/>
      <w:marTop w:val="0"/>
      <w:marBottom w:val="0"/>
      <w:divBdr>
        <w:top w:val="none" w:sz="0" w:space="0" w:color="auto"/>
        <w:left w:val="none" w:sz="0" w:space="0" w:color="auto"/>
        <w:bottom w:val="none" w:sz="0" w:space="0" w:color="auto"/>
        <w:right w:val="none" w:sz="0" w:space="0" w:color="auto"/>
      </w:divBdr>
    </w:div>
    <w:div w:id="225461292">
      <w:bodyDiv w:val="1"/>
      <w:marLeft w:val="0"/>
      <w:marRight w:val="0"/>
      <w:marTop w:val="0"/>
      <w:marBottom w:val="0"/>
      <w:divBdr>
        <w:top w:val="none" w:sz="0" w:space="0" w:color="auto"/>
        <w:left w:val="none" w:sz="0" w:space="0" w:color="auto"/>
        <w:bottom w:val="none" w:sz="0" w:space="0" w:color="auto"/>
        <w:right w:val="none" w:sz="0" w:space="0" w:color="auto"/>
      </w:divBdr>
      <w:divsChild>
        <w:div w:id="380596315">
          <w:marLeft w:val="0"/>
          <w:marRight w:val="0"/>
          <w:marTop w:val="0"/>
          <w:marBottom w:val="0"/>
          <w:divBdr>
            <w:top w:val="none" w:sz="0" w:space="0" w:color="auto"/>
            <w:left w:val="none" w:sz="0" w:space="0" w:color="auto"/>
            <w:bottom w:val="none" w:sz="0" w:space="0" w:color="auto"/>
            <w:right w:val="none" w:sz="0" w:space="0" w:color="auto"/>
          </w:divBdr>
        </w:div>
      </w:divsChild>
    </w:div>
    <w:div w:id="253707914">
      <w:bodyDiv w:val="1"/>
      <w:marLeft w:val="0"/>
      <w:marRight w:val="0"/>
      <w:marTop w:val="0"/>
      <w:marBottom w:val="0"/>
      <w:divBdr>
        <w:top w:val="none" w:sz="0" w:space="0" w:color="auto"/>
        <w:left w:val="none" w:sz="0" w:space="0" w:color="auto"/>
        <w:bottom w:val="none" w:sz="0" w:space="0" w:color="auto"/>
        <w:right w:val="none" w:sz="0" w:space="0" w:color="auto"/>
      </w:divBdr>
    </w:div>
    <w:div w:id="289439034">
      <w:bodyDiv w:val="1"/>
      <w:marLeft w:val="0"/>
      <w:marRight w:val="0"/>
      <w:marTop w:val="0"/>
      <w:marBottom w:val="0"/>
      <w:divBdr>
        <w:top w:val="none" w:sz="0" w:space="0" w:color="auto"/>
        <w:left w:val="none" w:sz="0" w:space="0" w:color="auto"/>
        <w:bottom w:val="none" w:sz="0" w:space="0" w:color="auto"/>
        <w:right w:val="none" w:sz="0" w:space="0" w:color="auto"/>
      </w:divBdr>
    </w:div>
    <w:div w:id="439884622">
      <w:bodyDiv w:val="1"/>
      <w:marLeft w:val="0"/>
      <w:marRight w:val="0"/>
      <w:marTop w:val="0"/>
      <w:marBottom w:val="0"/>
      <w:divBdr>
        <w:top w:val="none" w:sz="0" w:space="0" w:color="auto"/>
        <w:left w:val="none" w:sz="0" w:space="0" w:color="auto"/>
        <w:bottom w:val="none" w:sz="0" w:space="0" w:color="auto"/>
        <w:right w:val="none" w:sz="0" w:space="0" w:color="auto"/>
      </w:divBdr>
    </w:div>
    <w:div w:id="595594527">
      <w:bodyDiv w:val="1"/>
      <w:marLeft w:val="0"/>
      <w:marRight w:val="0"/>
      <w:marTop w:val="0"/>
      <w:marBottom w:val="0"/>
      <w:divBdr>
        <w:top w:val="none" w:sz="0" w:space="0" w:color="auto"/>
        <w:left w:val="none" w:sz="0" w:space="0" w:color="auto"/>
        <w:bottom w:val="none" w:sz="0" w:space="0" w:color="auto"/>
        <w:right w:val="none" w:sz="0" w:space="0" w:color="auto"/>
      </w:divBdr>
    </w:div>
    <w:div w:id="690834759">
      <w:bodyDiv w:val="1"/>
      <w:marLeft w:val="0"/>
      <w:marRight w:val="0"/>
      <w:marTop w:val="0"/>
      <w:marBottom w:val="0"/>
      <w:divBdr>
        <w:top w:val="none" w:sz="0" w:space="0" w:color="auto"/>
        <w:left w:val="none" w:sz="0" w:space="0" w:color="auto"/>
        <w:bottom w:val="none" w:sz="0" w:space="0" w:color="auto"/>
        <w:right w:val="none" w:sz="0" w:space="0" w:color="auto"/>
      </w:divBdr>
    </w:div>
    <w:div w:id="785805726">
      <w:bodyDiv w:val="1"/>
      <w:marLeft w:val="0"/>
      <w:marRight w:val="0"/>
      <w:marTop w:val="0"/>
      <w:marBottom w:val="0"/>
      <w:divBdr>
        <w:top w:val="none" w:sz="0" w:space="0" w:color="auto"/>
        <w:left w:val="none" w:sz="0" w:space="0" w:color="auto"/>
        <w:bottom w:val="none" w:sz="0" w:space="0" w:color="auto"/>
        <w:right w:val="none" w:sz="0" w:space="0" w:color="auto"/>
      </w:divBdr>
      <w:divsChild>
        <w:div w:id="1698770028">
          <w:marLeft w:val="0"/>
          <w:marRight w:val="0"/>
          <w:marTop w:val="0"/>
          <w:marBottom w:val="0"/>
          <w:divBdr>
            <w:top w:val="none" w:sz="0" w:space="0" w:color="auto"/>
            <w:left w:val="none" w:sz="0" w:space="0" w:color="auto"/>
            <w:bottom w:val="none" w:sz="0" w:space="0" w:color="auto"/>
            <w:right w:val="none" w:sz="0" w:space="0" w:color="auto"/>
          </w:divBdr>
          <w:divsChild>
            <w:div w:id="189075787">
              <w:marLeft w:val="0"/>
              <w:marRight w:val="0"/>
              <w:marTop w:val="0"/>
              <w:marBottom w:val="0"/>
              <w:divBdr>
                <w:top w:val="none" w:sz="0" w:space="0" w:color="auto"/>
                <w:left w:val="none" w:sz="0" w:space="0" w:color="auto"/>
                <w:bottom w:val="none" w:sz="0" w:space="0" w:color="auto"/>
                <w:right w:val="none" w:sz="0" w:space="0" w:color="auto"/>
              </w:divBdr>
              <w:divsChild>
                <w:div w:id="1135876265">
                  <w:marLeft w:val="0"/>
                  <w:marRight w:val="0"/>
                  <w:marTop w:val="0"/>
                  <w:marBottom w:val="0"/>
                  <w:divBdr>
                    <w:top w:val="none" w:sz="0" w:space="0" w:color="auto"/>
                    <w:left w:val="none" w:sz="0" w:space="0" w:color="auto"/>
                    <w:bottom w:val="none" w:sz="0" w:space="0" w:color="auto"/>
                    <w:right w:val="none" w:sz="0" w:space="0" w:color="auto"/>
                  </w:divBdr>
                  <w:divsChild>
                    <w:div w:id="2092969452">
                      <w:marLeft w:val="0"/>
                      <w:marRight w:val="0"/>
                      <w:marTop w:val="0"/>
                      <w:marBottom w:val="0"/>
                      <w:divBdr>
                        <w:top w:val="none" w:sz="0" w:space="0" w:color="auto"/>
                        <w:left w:val="none" w:sz="0" w:space="0" w:color="auto"/>
                        <w:bottom w:val="none" w:sz="0" w:space="0" w:color="auto"/>
                        <w:right w:val="none" w:sz="0" w:space="0" w:color="auto"/>
                      </w:divBdr>
                      <w:divsChild>
                        <w:div w:id="1209800045">
                          <w:marLeft w:val="0"/>
                          <w:marRight w:val="0"/>
                          <w:marTop w:val="0"/>
                          <w:marBottom w:val="0"/>
                          <w:divBdr>
                            <w:top w:val="none" w:sz="0" w:space="0" w:color="auto"/>
                            <w:left w:val="none" w:sz="0" w:space="0" w:color="auto"/>
                            <w:bottom w:val="none" w:sz="0" w:space="0" w:color="auto"/>
                            <w:right w:val="none" w:sz="0" w:space="0" w:color="auto"/>
                          </w:divBdr>
                          <w:divsChild>
                            <w:div w:id="125204994">
                              <w:marLeft w:val="0"/>
                              <w:marRight w:val="0"/>
                              <w:marTop w:val="0"/>
                              <w:marBottom w:val="0"/>
                              <w:divBdr>
                                <w:top w:val="none" w:sz="0" w:space="0" w:color="auto"/>
                                <w:left w:val="none" w:sz="0" w:space="0" w:color="auto"/>
                                <w:bottom w:val="none" w:sz="0" w:space="0" w:color="auto"/>
                                <w:right w:val="none" w:sz="0" w:space="0" w:color="auto"/>
                              </w:divBdr>
                            </w:div>
                            <w:div w:id="1205757267">
                              <w:marLeft w:val="0"/>
                              <w:marRight w:val="0"/>
                              <w:marTop w:val="600"/>
                              <w:marBottom w:val="0"/>
                              <w:divBdr>
                                <w:top w:val="none" w:sz="0" w:space="0" w:color="auto"/>
                                <w:left w:val="none" w:sz="0" w:space="0" w:color="auto"/>
                                <w:bottom w:val="none" w:sz="0" w:space="0" w:color="auto"/>
                                <w:right w:val="none" w:sz="0" w:space="0" w:color="auto"/>
                              </w:divBdr>
                            </w:div>
                          </w:divsChild>
                        </w:div>
                        <w:div w:id="167125603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59014661">
              <w:marLeft w:val="0"/>
              <w:marRight w:val="0"/>
              <w:marTop w:val="0"/>
              <w:marBottom w:val="375"/>
              <w:divBdr>
                <w:top w:val="none" w:sz="0" w:space="0" w:color="auto"/>
                <w:left w:val="none" w:sz="0" w:space="0" w:color="auto"/>
                <w:bottom w:val="none" w:sz="0" w:space="0" w:color="auto"/>
                <w:right w:val="none" w:sz="0" w:space="0" w:color="auto"/>
              </w:divBdr>
              <w:divsChild>
                <w:div w:id="310788534">
                  <w:marLeft w:val="0"/>
                  <w:marRight w:val="0"/>
                  <w:marTop w:val="0"/>
                  <w:marBottom w:val="0"/>
                  <w:divBdr>
                    <w:top w:val="none" w:sz="0" w:space="0" w:color="auto"/>
                    <w:left w:val="none" w:sz="0" w:space="0" w:color="auto"/>
                    <w:bottom w:val="none" w:sz="0" w:space="0" w:color="auto"/>
                    <w:right w:val="none" w:sz="0" w:space="0" w:color="auto"/>
                  </w:divBdr>
                  <w:divsChild>
                    <w:div w:id="165506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54380">
          <w:marLeft w:val="0"/>
          <w:marRight w:val="0"/>
          <w:marTop w:val="0"/>
          <w:marBottom w:val="0"/>
          <w:divBdr>
            <w:top w:val="none" w:sz="0" w:space="0" w:color="auto"/>
            <w:left w:val="none" w:sz="0" w:space="0" w:color="auto"/>
            <w:bottom w:val="none" w:sz="0" w:space="0" w:color="auto"/>
            <w:right w:val="none" w:sz="0" w:space="0" w:color="auto"/>
          </w:divBdr>
          <w:divsChild>
            <w:div w:id="123189072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09636315">
      <w:bodyDiv w:val="1"/>
      <w:marLeft w:val="0"/>
      <w:marRight w:val="0"/>
      <w:marTop w:val="0"/>
      <w:marBottom w:val="0"/>
      <w:divBdr>
        <w:top w:val="none" w:sz="0" w:space="0" w:color="auto"/>
        <w:left w:val="none" w:sz="0" w:space="0" w:color="auto"/>
        <w:bottom w:val="none" w:sz="0" w:space="0" w:color="auto"/>
        <w:right w:val="none" w:sz="0" w:space="0" w:color="auto"/>
      </w:divBdr>
    </w:div>
    <w:div w:id="1027095364">
      <w:bodyDiv w:val="1"/>
      <w:marLeft w:val="0"/>
      <w:marRight w:val="0"/>
      <w:marTop w:val="0"/>
      <w:marBottom w:val="0"/>
      <w:divBdr>
        <w:top w:val="none" w:sz="0" w:space="0" w:color="auto"/>
        <w:left w:val="none" w:sz="0" w:space="0" w:color="auto"/>
        <w:bottom w:val="none" w:sz="0" w:space="0" w:color="auto"/>
        <w:right w:val="none" w:sz="0" w:space="0" w:color="auto"/>
      </w:divBdr>
    </w:div>
    <w:div w:id="1180663806">
      <w:bodyDiv w:val="1"/>
      <w:marLeft w:val="0"/>
      <w:marRight w:val="0"/>
      <w:marTop w:val="0"/>
      <w:marBottom w:val="0"/>
      <w:divBdr>
        <w:top w:val="none" w:sz="0" w:space="0" w:color="auto"/>
        <w:left w:val="none" w:sz="0" w:space="0" w:color="auto"/>
        <w:bottom w:val="none" w:sz="0" w:space="0" w:color="auto"/>
        <w:right w:val="none" w:sz="0" w:space="0" w:color="auto"/>
      </w:divBdr>
    </w:div>
    <w:div w:id="1391348146">
      <w:bodyDiv w:val="1"/>
      <w:marLeft w:val="0"/>
      <w:marRight w:val="0"/>
      <w:marTop w:val="0"/>
      <w:marBottom w:val="0"/>
      <w:divBdr>
        <w:top w:val="none" w:sz="0" w:space="0" w:color="auto"/>
        <w:left w:val="none" w:sz="0" w:space="0" w:color="auto"/>
        <w:bottom w:val="none" w:sz="0" w:space="0" w:color="auto"/>
        <w:right w:val="none" w:sz="0" w:space="0" w:color="auto"/>
      </w:divBdr>
    </w:div>
    <w:div w:id="1422533624">
      <w:bodyDiv w:val="1"/>
      <w:marLeft w:val="0"/>
      <w:marRight w:val="0"/>
      <w:marTop w:val="0"/>
      <w:marBottom w:val="0"/>
      <w:divBdr>
        <w:top w:val="none" w:sz="0" w:space="0" w:color="auto"/>
        <w:left w:val="none" w:sz="0" w:space="0" w:color="auto"/>
        <w:bottom w:val="none" w:sz="0" w:space="0" w:color="auto"/>
        <w:right w:val="none" w:sz="0" w:space="0" w:color="auto"/>
      </w:divBdr>
    </w:div>
    <w:div w:id="1598783317">
      <w:bodyDiv w:val="1"/>
      <w:marLeft w:val="0"/>
      <w:marRight w:val="0"/>
      <w:marTop w:val="0"/>
      <w:marBottom w:val="0"/>
      <w:divBdr>
        <w:top w:val="none" w:sz="0" w:space="0" w:color="auto"/>
        <w:left w:val="none" w:sz="0" w:space="0" w:color="auto"/>
        <w:bottom w:val="none" w:sz="0" w:space="0" w:color="auto"/>
        <w:right w:val="none" w:sz="0" w:space="0" w:color="auto"/>
      </w:divBdr>
    </w:div>
    <w:div w:id="1603806408">
      <w:bodyDiv w:val="1"/>
      <w:marLeft w:val="0"/>
      <w:marRight w:val="0"/>
      <w:marTop w:val="0"/>
      <w:marBottom w:val="0"/>
      <w:divBdr>
        <w:top w:val="none" w:sz="0" w:space="0" w:color="auto"/>
        <w:left w:val="none" w:sz="0" w:space="0" w:color="auto"/>
        <w:bottom w:val="none" w:sz="0" w:space="0" w:color="auto"/>
        <w:right w:val="none" w:sz="0" w:space="0" w:color="auto"/>
      </w:divBdr>
    </w:div>
    <w:div w:id="1960260679">
      <w:bodyDiv w:val="1"/>
      <w:marLeft w:val="0"/>
      <w:marRight w:val="0"/>
      <w:marTop w:val="0"/>
      <w:marBottom w:val="0"/>
      <w:divBdr>
        <w:top w:val="none" w:sz="0" w:space="0" w:color="auto"/>
        <w:left w:val="none" w:sz="0" w:space="0" w:color="auto"/>
        <w:bottom w:val="none" w:sz="0" w:space="0" w:color="auto"/>
        <w:right w:val="none" w:sz="0" w:space="0" w:color="auto"/>
      </w:divBdr>
    </w:div>
    <w:div w:id="2064481044">
      <w:bodyDiv w:val="1"/>
      <w:marLeft w:val="0"/>
      <w:marRight w:val="0"/>
      <w:marTop w:val="0"/>
      <w:marBottom w:val="0"/>
      <w:divBdr>
        <w:top w:val="none" w:sz="0" w:space="0" w:color="auto"/>
        <w:left w:val="none" w:sz="0" w:space="0" w:color="auto"/>
        <w:bottom w:val="none" w:sz="0" w:space="0" w:color="auto"/>
        <w:right w:val="none" w:sz="0" w:space="0" w:color="auto"/>
      </w:divBdr>
    </w:div>
    <w:div w:id="2066874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Evolution des produits de la tarification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1.0368066355624657E-2"/>
                  <c:y val="-1.90748659953115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9E8-4454-AFA5-04D6279A2C7D}"/>
                </c:ext>
              </c:extLst>
            </c:dLbl>
            <c:dLbl>
              <c:idx val="1"/>
              <c:layout>
                <c:manualLayout>
                  <c:x val="8.2944530844997408E-3"/>
                  <c:y val="-5.72245979859345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9E8-4454-AFA5-04D6279A2C7D}"/>
                </c:ext>
              </c:extLst>
            </c:dLbl>
            <c:dLbl>
              <c:idx val="2"/>
              <c:layout>
                <c:manualLayout>
                  <c:x val="1.0368066355624676E-2"/>
                  <c:y val="-3.0519785592498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9E8-4454-AFA5-04D6279A2C7D}"/>
                </c:ext>
              </c:extLst>
            </c:dLbl>
            <c:dLbl>
              <c:idx val="3"/>
              <c:layout>
                <c:manualLayout>
                  <c:x val="6.2208398133747293E-3"/>
                  <c:y val="-2.67048123934360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9E8-4454-AFA5-04D6279A2C7D}"/>
                </c:ext>
              </c:extLst>
            </c:dLbl>
            <c:dLbl>
              <c:idx val="4"/>
              <c:layout>
                <c:manualLayout>
                  <c:x val="1.03680663556246E-2"/>
                  <c:y val="-2.28898391943737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9E8-4454-AFA5-04D6279A2C7D}"/>
                </c:ext>
              </c:extLst>
            </c:dLbl>
            <c:dLbl>
              <c:idx val="5"/>
              <c:layout>
                <c:manualLayout>
                  <c:x val="1.0368066355624676E-2"/>
                  <c:y val="-4.19647051896852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9E8-4454-AFA5-04D6279A2C7D}"/>
                </c:ext>
              </c:extLst>
            </c:dLbl>
            <c:dLbl>
              <c:idx val="6"/>
              <c:layout>
                <c:manualLayout>
                  <c:x val="1.4515292897874394E-2"/>
                  <c:y val="-6.4854544384059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9E8-4454-AFA5-04D6279A2C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Feuil1!$I$5:$O$5</c:f>
              <c:numCache>
                <c:formatCode>General</c:formatCode>
                <c:ptCount val="7"/>
                <c:pt idx="0">
                  <c:v>2019</c:v>
                </c:pt>
                <c:pt idx="1">
                  <c:v>2020</c:v>
                </c:pt>
                <c:pt idx="2">
                  <c:v>2021</c:v>
                </c:pt>
                <c:pt idx="3">
                  <c:v>2022</c:v>
                </c:pt>
                <c:pt idx="4">
                  <c:v>2023</c:v>
                </c:pt>
                <c:pt idx="5">
                  <c:v>2024</c:v>
                </c:pt>
                <c:pt idx="6">
                  <c:v>2025</c:v>
                </c:pt>
              </c:numCache>
            </c:numRef>
          </c:cat>
          <c:val>
            <c:numRef>
              <c:f>Feuil1!$I$6:$O$6</c:f>
              <c:numCache>
                <c:formatCode>General</c:formatCode>
                <c:ptCount val="7"/>
                <c:pt idx="0">
                  <c:v>909566</c:v>
                </c:pt>
                <c:pt idx="1">
                  <c:v>757409</c:v>
                </c:pt>
                <c:pt idx="2">
                  <c:v>656199</c:v>
                </c:pt>
                <c:pt idx="3">
                  <c:v>1061259</c:v>
                </c:pt>
                <c:pt idx="4">
                  <c:v>1304458</c:v>
                </c:pt>
                <c:pt idx="5">
                  <c:v>1383559</c:v>
                </c:pt>
                <c:pt idx="6">
                  <c:v>1350000</c:v>
                </c:pt>
              </c:numCache>
            </c:numRef>
          </c:val>
          <c:extLst>
            <c:ext xmlns:c16="http://schemas.microsoft.com/office/drawing/2014/chart" uri="{C3380CC4-5D6E-409C-BE32-E72D297353CC}">
              <c16:uniqueId val="{00000007-A9E8-4454-AFA5-04D6279A2C7D}"/>
            </c:ext>
          </c:extLst>
        </c:ser>
        <c:dLbls>
          <c:showLegendKey val="0"/>
          <c:showVal val="0"/>
          <c:showCatName val="0"/>
          <c:showSerName val="0"/>
          <c:showPercent val="0"/>
          <c:showBubbleSize val="0"/>
        </c:dLbls>
        <c:gapWidth val="150"/>
        <c:shape val="box"/>
        <c:axId val="504803663"/>
        <c:axId val="504798863"/>
        <c:axId val="0"/>
      </c:bar3DChart>
      <c:catAx>
        <c:axId val="50480366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04798863"/>
        <c:crosses val="autoZero"/>
        <c:auto val="1"/>
        <c:lblAlgn val="ctr"/>
        <c:lblOffset val="100"/>
        <c:noMultiLvlLbl val="0"/>
      </c:catAx>
      <c:valAx>
        <c:axId val="5047988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048036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48B89-9444-4DE5-892E-8EAE41CC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3712</Words>
  <Characters>20417</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DEYSIEUX Alexandra</dc:creator>
  <cp:keywords/>
  <dc:description/>
  <cp:lastModifiedBy>DENORMANDIE corinne</cp:lastModifiedBy>
  <cp:revision>2</cp:revision>
  <cp:lastPrinted>2025-11-12T08:09:00Z</cp:lastPrinted>
  <dcterms:created xsi:type="dcterms:W3CDTF">2025-11-19T14:28:00Z</dcterms:created>
  <dcterms:modified xsi:type="dcterms:W3CDTF">2025-11-19T14:28:00Z</dcterms:modified>
</cp:coreProperties>
</file>